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</w:rPr>
      </w:pPr>
      <w:r>
        <w:rPr>
          <w:rFonts w:hint="eastAsia"/>
          <w:sz w:val="32"/>
        </w:rPr>
        <w:t>微型计算机节能认证新旧标准差异和补充试验要求</w:t>
      </w:r>
    </w:p>
    <w:p>
      <w:pPr>
        <w:rPr>
          <w:rFonts w:asciiTheme="majorEastAsia" w:hAnsiTheme="majorEastAsia" w:eastAsiaTheme="majorEastAsia"/>
          <w:color w:val="000000"/>
          <w:sz w:val="24"/>
          <w:szCs w:val="21"/>
        </w:rPr>
      </w:pPr>
    </w:p>
    <w:p>
      <w:pPr>
        <w:autoSpaceDE w:val="0"/>
        <w:autoSpaceDN w:val="0"/>
        <w:adjustRightInd w:val="0"/>
        <w:spacing w:line="300" w:lineRule="auto"/>
        <w:ind w:left="1440" w:hanging="1440" w:hangingChars="600"/>
        <w:rPr>
          <w:rFonts w:asciiTheme="majorEastAsia" w:hAnsiTheme="majorEastAsia" w:eastAsiaTheme="majorEastAsia"/>
          <w:color w:val="000000"/>
          <w:sz w:val="24"/>
          <w:szCs w:val="21"/>
        </w:rPr>
      </w:pPr>
      <w:r>
        <w:rPr>
          <w:rFonts w:hint="eastAsia" w:asciiTheme="majorEastAsia" w:hAnsiTheme="majorEastAsia" w:eastAsiaTheme="majorEastAsia"/>
          <w:color w:val="000000"/>
          <w:sz w:val="24"/>
          <w:szCs w:val="21"/>
        </w:rPr>
        <w:t>旧版标准：GB</w:t>
      </w:r>
      <w:r>
        <w:rPr>
          <w:rFonts w:asciiTheme="majorEastAsia" w:hAnsiTheme="majorEastAsia" w:eastAsiaTheme="majorEastAsia"/>
          <w:color w:val="000000"/>
          <w:sz w:val="24"/>
          <w:szCs w:val="21"/>
        </w:rPr>
        <w:t xml:space="preserve"> </w:t>
      </w:r>
      <w:r>
        <w:rPr>
          <w:rFonts w:hint="eastAsia" w:asciiTheme="majorEastAsia" w:hAnsiTheme="majorEastAsia" w:eastAsiaTheme="majorEastAsia"/>
          <w:color w:val="000000"/>
          <w:sz w:val="24"/>
          <w:szCs w:val="21"/>
        </w:rPr>
        <w:t>28380-20</w:t>
      </w:r>
      <w:r>
        <w:rPr>
          <w:rFonts w:asciiTheme="majorEastAsia" w:hAnsiTheme="majorEastAsia" w:eastAsiaTheme="majorEastAsia"/>
          <w:color w:val="000000"/>
          <w:sz w:val="24"/>
          <w:szCs w:val="21"/>
        </w:rPr>
        <w:t>1</w:t>
      </w:r>
      <w:r>
        <w:rPr>
          <w:rFonts w:hint="eastAsia" w:asciiTheme="majorEastAsia" w:hAnsiTheme="majorEastAsia" w:eastAsiaTheme="majorEastAsia"/>
          <w:color w:val="000000"/>
          <w:sz w:val="24"/>
          <w:szCs w:val="21"/>
        </w:rPr>
        <w:t>2《微型计算机能效限定值及能效等级》</w:t>
      </w:r>
    </w:p>
    <w:p>
      <w:pPr>
        <w:autoSpaceDE w:val="0"/>
        <w:autoSpaceDN w:val="0"/>
        <w:adjustRightInd w:val="0"/>
        <w:spacing w:line="300" w:lineRule="auto"/>
        <w:rPr>
          <w:rFonts w:asciiTheme="majorEastAsia" w:hAnsiTheme="majorEastAsia" w:eastAsiaTheme="majorEastAsia"/>
          <w:color w:val="000000"/>
          <w:sz w:val="24"/>
          <w:szCs w:val="21"/>
        </w:rPr>
      </w:pPr>
      <w:r>
        <w:rPr>
          <w:rFonts w:hint="eastAsia" w:asciiTheme="majorEastAsia" w:hAnsiTheme="majorEastAsia" w:eastAsiaTheme="majorEastAsia"/>
          <w:color w:val="000000"/>
          <w:sz w:val="24"/>
          <w:szCs w:val="21"/>
        </w:rPr>
        <w:t>新版标准：GB</w:t>
      </w:r>
      <w:r>
        <w:rPr>
          <w:rFonts w:asciiTheme="majorEastAsia" w:hAnsiTheme="majorEastAsia" w:eastAsiaTheme="majorEastAsia"/>
          <w:color w:val="000000"/>
          <w:sz w:val="24"/>
          <w:szCs w:val="21"/>
        </w:rPr>
        <w:t xml:space="preserve"> </w:t>
      </w:r>
      <w:r>
        <w:rPr>
          <w:rFonts w:hint="eastAsia" w:asciiTheme="majorEastAsia" w:hAnsiTheme="majorEastAsia" w:eastAsiaTheme="majorEastAsia"/>
          <w:color w:val="000000"/>
          <w:sz w:val="24"/>
          <w:szCs w:val="21"/>
        </w:rPr>
        <w:t>28380-2025《微型计算机能效限定值及能效等级》</w:t>
      </w:r>
    </w:p>
    <w:p>
      <w:pPr>
        <w:autoSpaceDE w:val="0"/>
        <w:autoSpaceDN w:val="0"/>
        <w:adjustRightInd w:val="0"/>
        <w:spacing w:line="300" w:lineRule="auto"/>
        <w:rPr>
          <w:rFonts w:asciiTheme="majorEastAsia" w:hAnsiTheme="majorEastAsia" w:eastAsiaTheme="majorEastAsia"/>
          <w:color w:val="000000"/>
          <w:sz w:val="24"/>
          <w:szCs w:val="21"/>
        </w:rPr>
      </w:pPr>
    </w:p>
    <w:tbl>
      <w:tblPr>
        <w:tblStyle w:val="7"/>
        <w:tblW w:w="140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3854"/>
        <w:gridCol w:w="1276"/>
        <w:gridCol w:w="5643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tblHeader/>
          <w:jc w:val="center"/>
        </w:trPr>
        <w:tc>
          <w:tcPr>
            <w:tcW w:w="1276" w:type="dxa"/>
            <w:shd w:val="clear" w:color="auto" w:fill="F2F2F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旧标准章节</w:t>
            </w:r>
          </w:p>
        </w:tc>
        <w:tc>
          <w:tcPr>
            <w:tcW w:w="3854" w:type="dxa"/>
            <w:shd w:val="clear" w:color="auto" w:fill="F2F2F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1"/>
              </w:rPr>
              <w:t>GB</w:t>
            </w:r>
            <w:r>
              <w:rPr>
                <w:rFonts w:asciiTheme="majorEastAsia" w:hAnsiTheme="majorEastAsia" w:eastAsiaTheme="majorEastAsia"/>
                <w:color w:val="000000"/>
                <w:sz w:val="24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1"/>
              </w:rPr>
              <w:t>28380-20</w:t>
            </w:r>
            <w:r>
              <w:rPr>
                <w:rFonts w:asciiTheme="majorEastAsia" w:hAnsiTheme="majorEastAsia" w:eastAsiaTheme="majorEastAsia"/>
                <w:color w:val="000000"/>
                <w:sz w:val="24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1"/>
              </w:rPr>
              <w:t>2</w:t>
            </w:r>
          </w:p>
        </w:tc>
        <w:tc>
          <w:tcPr>
            <w:tcW w:w="1276" w:type="dxa"/>
            <w:shd w:val="clear" w:color="auto" w:fill="F2F2F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color w:val="000000"/>
                <w:sz w:val="24"/>
                <w:szCs w:val="21"/>
              </w:rPr>
            </w:pPr>
            <w:r>
              <w:rPr>
                <w:b/>
                <w:szCs w:val="21"/>
              </w:rPr>
              <w:t>新标准章节</w:t>
            </w:r>
          </w:p>
        </w:tc>
        <w:tc>
          <w:tcPr>
            <w:tcW w:w="5643" w:type="dxa"/>
            <w:shd w:val="clear" w:color="auto" w:fill="F2F2F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1"/>
              </w:rPr>
              <w:t>GB</w:t>
            </w:r>
            <w:r>
              <w:rPr>
                <w:rFonts w:asciiTheme="majorEastAsia" w:hAnsiTheme="majorEastAsia" w:eastAsiaTheme="majorEastAsia"/>
                <w:color w:val="000000"/>
                <w:sz w:val="24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color w:val="000000"/>
                <w:sz w:val="24"/>
                <w:szCs w:val="21"/>
              </w:rPr>
              <w:t>28380-2025</w:t>
            </w:r>
          </w:p>
        </w:tc>
        <w:tc>
          <w:tcPr>
            <w:tcW w:w="1963" w:type="dxa"/>
            <w:shd w:val="clear" w:color="auto" w:fill="F2F2F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是否</w:t>
            </w:r>
          </w:p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补充试验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3" w:hRule="atLeast"/>
          <w:jc w:val="center"/>
        </w:trPr>
        <w:tc>
          <w:tcPr>
            <w:tcW w:w="1276" w:type="dxa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1 范围</w:t>
            </w:r>
          </w:p>
        </w:tc>
        <w:tc>
          <w:tcPr>
            <w:tcW w:w="3854" w:type="dxa"/>
            <w:vAlign w:val="center"/>
          </w:tcPr>
          <w:p>
            <w:pPr>
              <w:widowControl/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不适用于工作站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及工控机；</w:t>
            </w:r>
          </w:p>
          <w:p>
            <w:pPr>
              <w:widowControl/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不适用于具有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两个及两个以上独立显示单元的微型计算机</w:t>
            </w:r>
            <w:r>
              <w:rPr>
                <w:rFonts w:hint="eastAsia" w:cs="Segoe UI" w:asciiTheme="minorEastAsia" w:hAnsiTheme="minorEastAsia" w:eastAsiaTheme="minorEastAsia"/>
                <w:color w:val="222222"/>
                <w:kern w:val="0"/>
                <w:szCs w:val="21"/>
                <w:lang w:bidi="ar"/>
              </w:rPr>
              <w:t>；</w:t>
            </w:r>
          </w:p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不适用于电源额定功率大于750W的微型计算机</w:t>
            </w:r>
          </w:p>
        </w:tc>
        <w:tc>
          <w:tcPr>
            <w:tcW w:w="1276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 范围</w:t>
            </w:r>
          </w:p>
        </w:tc>
        <w:tc>
          <w:tcPr>
            <w:tcW w:w="5643" w:type="dxa"/>
            <w:vAlign w:val="center"/>
          </w:tcPr>
          <w:p>
            <w:pPr>
              <w:widowControl/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不适用于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：</w:t>
            </w:r>
          </w:p>
          <w:p>
            <w:pPr>
              <w:widowControl/>
              <w:jc w:val="left"/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a) 平板电脑、台式/机架式工作站和工业应用微型计算机</w:t>
            </w:r>
          </w:p>
          <w:p>
            <w:pPr>
              <w:widowControl/>
              <w:jc w:val="left"/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b) 具有两个及两个以上独立显示单元的微型计算机</w:t>
            </w:r>
          </w:p>
          <w:p>
            <w:pPr>
              <w:widowControl/>
              <w:jc w:val="left"/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c) 电源额定输出功率大于500W 的微型计算机</w:t>
            </w:r>
          </w:p>
          <w:p>
            <w:pPr>
              <w:widowControl/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d) 显示屏对角线尺寸小于294.6mm(11.6in)的一体机及便携式微型计算机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否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扩大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不适</w:t>
            </w:r>
            <w:bookmarkStart w:id="0" w:name="_GoBack"/>
            <w:bookmarkEnd w:id="0"/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用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0" w:hRule="atLeast"/>
          <w:jc w:val="center"/>
        </w:trPr>
        <w:tc>
          <w:tcPr>
            <w:tcW w:w="1276" w:type="dxa"/>
            <w:vAlign w:val="center"/>
          </w:tcPr>
          <w:p>
            <w:pPr>
              <w:jc w:val="left"/>
              <w:rPr>
                <w:szCs w:val="21"/>
              </w:rPr>
            </w:pPr>
            <w:r>
              <w:rPr>
                <w:rFonts w:hint="eastAsia" w:ascii="宋体" w:hAnsi="宋体" w:cs="宋体"/>
              </w:rPr>
              <w:t>2 术语和定义</w:t>
            </w:r>
          </w:p>
        </w:tc>
        <w:tc>
          <w:tcPr>
            <w:tcW w:w="3854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给出了相关术语和定义</w:t>
            </w:r>
          </w:p>
        </w:tc>
        <w:tc>
          <w:tcPr>
            <w:tcW w:w="1276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 术语和定义</w:t>
            </w:r>
          </w:p>
        </w:tc>
        <w:tc>
          <w:tcPr>
            <w:tcW w:w="5643" w:type="dxa"/>
            <w:vAlign w:val="center"/>
          </w:tcPr>
          <w:p>
            <w:pPr>
              <w:widowControl/>
              <w:jc w:val="left"/>
              <w:rPr>
                <w:rFonts w:ascii="Segoe UI" w:hAnsi="Segoe UI" w:cs="Segoe UI"/>
                <w:color w:val="222222"/>
                <w:szCs w:val="21"/>
              </w:rPr>
            </w:pPr>
            <w:r>
              <w:rPr>
                <w:rFonts w:hint="eastAsia" w:ascii="宋体" w:hAnsi="宋体" w:cs="宋体"/>
              </w:rPr>
              <w:t>1.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新增</w:t>
            </w:r>
            <w:r>
              <w:rPr>
                <w:rFonts w:hint="eastAsia" w:cs="Segoe UI" w:asciiTheme="minorEastAsia" w:hAnsiTheme="minorEastAsia" w:eastAsiaTheme="minorEastAsia"/>
                <w:color w:val="222222"/>
                <w:kern w:val="0"/>
                <w:szCs w:val="21"/>
                <w:lang w:bidi="ar"/>
              </w:rPr>
              <w:t>了</w:t>
            </w:r>
            <w:r>
              <w:rPr>
                <w:rFonts w:hint="eastAsia" w:ascii="Segoe UI" w:hAnsi="Segoe UI" w:cs="Segoe UI"/>
                <w:color w:val="222222"/>
                <w:szCs w:val="21"/>
              </w:rPr>
              <w:t>“平板电脑”、“长时空闲”、“短时空闲”、“替代型低功耗状态ALPM”的定义；</w:t>
            </w:r>
          </w:p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2.更改了 “关闭状态”、“睡眠状态”、“空闲状态”</w:t>
            </w:r>
            <w:r>
              <w:rPr>
                <w:rFonts w:hint="eastAsia" w:ascii="Segoe UI" w:hAnsi="Segoe UI" w:cs="Segoe UI"/>
                <w:color w:val="222222"/>
                <w:szCs w:val="21"/>
              </w:rPr>
              <w:t>的定义</w:t>
            </w:r>
            <w:r>
              <w:rPr>
                <w:rFonts w:hint="eastAsia" w:ascii="宋体" w:hAnsi="宋体" w:cs="宋体"/>
              </w:rPr>
              <w:t>；</w:t>
            </w:r>
          </w:p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3.删除了“微型计算机节能评价值”</w:t>
            </w:r>
            <w:r>
              <w:rPr>
                <w:rFonts w:hint="eastAsia" w:ascii="Segoe UI" w:hAnsi="Segoe UI" w:cs="Segoe UI"/>
                <w:color w:val="222222"/>
                <w:szCs w:val="21"/>
              </w:rPr>
              <w:t xml:space="preserve"> 的定义。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2" w:hRule="atLeast"/>
          <w:jc w:val="center"/>
        </w:trPr>
        <w:tc>
          <w:tcPr>
            <w:tcW w:w="1276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3.1</w:t>
            </w:r>
            <w:r>
              <w:rPr>
                <w:rFonts w:hint="eastAsia"/>
              </w:rPr>
              <w:t>微型计算机分类</w:t>
            </w:r>
          </w:p>
        </w:tc>
        <w:tc>
          <w:tcPr>
            <w:tcW w:w="3854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根据</w:t>
            </w:r>
            <w:r>
              <w:rPr>
                <w:rFonts w:ascii="宋体" w:hAnsi="宋体" w:cs="宋体"/>
              </w:rPr>
              <w:t>CPU</w:t>
            </w:r>
            <w:r>
              <w:rPr>
                <w:rFonts w:hint="eastAsia" w:ascii="宋体" w:hAnsi="宋体" w:cs="宋体"/>
              </w:rPr>
              <w:t>核数、内存容量、GPU类型和显存位宽，分为</w:t>
            </w:r>
            <w:r>
              <w:rPr>
                <w:rFonts w:ascii="宋体" w:hAnsi="宋体" w:cs="宋体"/>
              </w:rPr>
              <w:t xml:space="preserve"> A</w:t>
            </w:r>
            <w:r>
              <w:rPr>
                <w:rFonts w:hint="eastAsia" w:ascii="宋体" w:hAnsi="宋体" w:cs="宋体"/>
              </w:rPr>
              <w:t>、</w:t>
            </w:r>
            <w:r>
              <w:rPr>
                <w:rFonts w:ascii="宋体" w:hAnsi="宋体" w:cs="宋体"/>
              </w:rPr>
              <w:t>B</w:t>
            </w:r>
            <w:r>
              <w:rPr>
                <w:rFonts w:hint="eastAsia" w:ascii="宋体" w:hAnsi="宋体" w:cs="宋体"/>
              </w:rPr>
              <w:t>、</w:t>
            </w:r>
            <w:r>
              <w:rPr>
                <w:rFonts w:ascii="宋体" w:hAnsi="宋体" w:cs="宋体"/>
              </w:rPr>
              <w:t>C</w:t>
            </w:r>
            <w:r>
              <w:rPr>
                <w:rFonts w:hint="eastAsia" w:ascii="宋体" w:hAnsi="宋体" w:cs="宋体"/>
              </w:rPr>
              <w:t>、</w:t>
            </w:r>
            <w:r>
              <w:rPr>
                <w:rFonts w:ascii="宋体" w:hAnsi="宋体" w:cs="宋体"/>
              </w:rPr>
              <w:t>D</w:t>
            </w:r>
            <w:r>
              <w:rPr>
                <w:rFonts w:hint="eastAsia" w:ascii="宋体" w:hAnsi="宋体" w:cs="宋体"/>
              </w:rPr>
              <w:t>类</w:t>
            </w:r>
          </w:p>
        </w:tc>
        <w:tc>
          <w:tcPr>
            <w:tcW w:w="1276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4.1微型计算机分类</w:t>
            </w:r>
          </w:p>
        </w:tc>
        <w:tc>
          <w:tcPr>
            <w:tcW w:w="5643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根据</w:t>
            </w:r>
            <w:r>
              <w:rPr>
                <w:rFonts w:ascii="宋体" w:hAnsi="宋体" w:cs="宋体"/>
              </w:rPr>
              <w:t>CPU</w:t>
            </w:r>
            <w:r>
              <w:rPr>
                <w:rFonts w:hint="eastAsia" w:ascii="宋体" w:hAnsi="宋体" w:cs="宋体"/>
              </w:rPr>
              <w:t>核数、主频，分为I、D、1、2类</w:t>
            </w:r>
          </w:p>
        </w:tc>
        <w:tc>
          <w:tcPr>
            <w:tcW w:w="1963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是</w:t>
            </w:r>
          </w:p>
          <w:p>
            <w:pPr>
              <w:jc w:val="center"/>
              <w:rPr>
                <w:rFonts w:eastAsiaTheme="minorEastAsia"/>
                <w:szCs w:val="21"/>
              </w:rPr>
            </w:pP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能效指标更严格，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依据不同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CPU工艺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进行不同的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分级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2" w:hRule="atLeast"/>
          <w:jc w:val="center"/>
        </w:trPr>
        <w:tc>
          <w:tcPr>
            <w:tcW w:w="1276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3.2</w:t>
            </w:r>
            <w:r>
              <w:rPr>
                <w:rStyle w:val="10"/>
                <w:rFonts w:hint="eastAsia" w:ascii="宋体" w:hAnsi="宋体" w:cs="宋体"/>
                <w:b w:val="0"/>
                <w:bCs/>
                <w:color w:val="222222"/>
                <w:kern w:val="0"/>
                <w:szCs w:val="21"/>
                <w:lang w:bidi="ar"/>
              </w:rPr>
              <w:t>微型计算机能效等级</w:t>
            </w:r>
          </w:p>
        </w:tc>
        <w:tc>
          <w:tcPr>
            <w:tcW w:w="3854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根据</w:t>
            </w:r>
            <w:r>
              <w:rPr>
                <w:rFonts w:hint="eastAsia"/>
              </w:rPr>
              <w:t>微型计算机分类规定了各级限值（与CPU工艺无关）</w:t>
            </w:r>
          </w:p>
        </w:tc>
        <w:tc>
          <w:tcPr>
            <w:tcW w:w="1276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4.2</w:t>
            </w:r>
            <w:r>
              <w:rPr>
                <w:rStyle w:val="10"/>
                <w:rFonts w:hint="eastAsia" w:ascii="宋体" w:hAnsi="宋体" w:cs="宋体"/>
                <w:b w:val="0"/>
                <w:bCs/>
                <w:color w:val="222222"/>
                <w:kern w:val="0"/>
                <w:szCs w:val="21"/>
                <w:lang w:bidi="ar"/>
              </w:rPr>
              <w:t>微型计算机能效等级</w:t>
            </w:r>
          </w:p>
        </w:tc>
        <w:tc>
          <w:tcPr>
            <w:tcW w:w="5643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按CPU工艺不同，分别设定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各级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限值</w:t>
            </w:r>
          </w:p>
        </w:tc>
        <w:tc>
          <w:tcPr>
            <w:tcW w:w="1963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276" w:type="dxa"/>
            <w:vMerge w:val="restart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4.2计算方法</w:t>
            </w:r>
          </w:p>
        </w:tc>
        <w:tc>
          <w:tcPr>
            <w:tcW w:w="3854" w:type="dxa"/>
            <w:vAlign w:val="center"/>
          </w:tcPr>
          <w:p>
            <w:pPr>
              <w:widowControl/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 w:eastAsiaTheme="minorEastAsia"/>
              </w:rPr>
              <w:t>1.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典型能源消耗的计算：</w:t>
            </w:r>
          </w:p>
          <w:p>
            <w:pPr>
              <w:widowControl/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关闭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+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睡眠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+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空闲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的典型能耗公式</w:t>
            </w:r>
          </w:p>
          <w:p>
            <w:pPr>
              <w:widowControl/>
              <w:jc w:val="left"/>
              <w:rPr>
                <w:rFonts w:ascii="宋体" w:hAnsi="宋体" w:cs="宋体" w:eastAsiaTheme="minorEastAsia"/>
              </w:rPr>
            </w:pPr>
            <w:r>
              <w:rPr>
                <w:rFonts w:hint="eastAsia" w:ascii="宋体" w:hAnsi="宋体" w:cs="宋体" w:eastAsiaTheme="minorEastAsia"/>
              </w:rPr>
              <w:t>2.各状态所占时间百分比</w:t>
            </w:r>
          </w:p>
          <w:tbl>
            <w:tblPr>
              <w:tblStyle w:val="8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07"/>
              <w:gridCol w:w="1400"/>
              <w:gridCol w:w="101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07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状态</w:t>
                  </w:r>
                </w:p>
              </w:tc>
              <w:tc>
                <w:tcPr>
                  <w:tcW w:w="1400" w:type="dxa"/>
                </w:tcPr>
                <w:p>
                  <w:pPr>
                    <w:widowControl/>
                    <w:jc w:val="left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台式/一体机</w:t>
                  </w:r>
                </w:p>
              </w:tc>
              <w:tc>
                <w:tcPr>
                  <w:tcW w:w="1016" w:type="dxa"/>
                </w:tcPr>
                <w:p>
                  <w:pPr>
                    <w:widowControl/>
                    <w:jc w:val="left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便携机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07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关闭状态</w:t>
                  </w:r>
                </w:p>
              </w:tc>
              <w:tc>
                <w:tcPr>
                  <w:tcW w:w="1400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55%</w:t>
                  </w:r>
                </w:p>
              </w:tc>
              <w:tc>
                <w:tcPr>
                  <w:tcW w:w="1016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60%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07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睡眠状态</w:t>
                  </w:r>
                </w:p>
              </w:tc>
              <w:tc>
                <w:tcPr>
                  <w:tcW w:w="1400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5%</w:t>
                  </w:r>
                </w:p>
              </w:tc>
              <w:tc>
                <w:tcPr>
                  <w:tcW w:w="1016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10%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207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空闲状态</w:t>
                  </w:r>
                </w:p>
              </w:tc>
              <w:tc>
                <w:tcPr>
                  <w:tcW w:w="1400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40%</w:t>
                  </w:r>
                </w:p>
              </w:tc>
              <w:tc>
                <w:tcPr>
                  <w:tcW w:w="1016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30%</w:t>
                  </w:r>
                </w:p>
              </w:tc>
            </w:tr>
          </w:tbl>
          <w:p>
            <w:pPr>
              <w:widowControl/>
              <w:jc w:val="left"/>
              <w:rPr>
                <w:rFonts w:ascii="宋体" w:hAnsi="宋体" w:cs="宋体" w:eastAsiaTheme="minorEastAsia"/>
              </w:rPr>
            </w:pPr>
          </w:p>
        </w:tc>
        <w:tc>
          <w:tcPr>
            <w:tcW w:w="1276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5.3计算方法</w:t>
            </w:r>
          </w:p>
        </w:tc>
        <w:tc>
          <w:tcPr>
            <w:tcW w:w="5643" w:type="dxa"/>
            <w:vAlign w:val="center"/>
          </w:tcPr>
          <w:p>
            <w:pPr>
              <w:widowControl/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1.典型能源消耗的计算：</w:t>
            </w:r>
          </w:p>
          <w:p>
            <w:pPr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关闭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+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睡眠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+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长空闲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+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短空闲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状态典型能耗公式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br w:type="textWrapping"/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关闭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+ ALPM+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短空闲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状态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的典型能耗公式</w:t>
            </w:r>
          </w:p>
          <w:p>
            <w:pPr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 w:eastAsiaTheme="minorEastAsia"/>
              </w:rPr>
              <w:t>2.各状态所占时间百分比不同</w:t>
            </w:r>
          </w:p>
          <w:tbl>
            <w:tblPr>
              <w:tblStyle w:val="8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98"/>
              <w:gridCol w:w="1701"/>
              <w:gridCol w:w="155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898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状态</w:t>
                  </w:r>
                </w:p>
              </w:tc>
              <w:tc>
                <w:tcPr>
                  <w:tcW w:w="1701" w:type="dxa"/>
                </w:tcPr>
                <w:p>
                  <w:pPr>
                    <w:widowControl/>
                    <w:jc w:val="left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台式/一体机</w:t>
                  </w:r>
                </w:p>
              </w:tc>
              <w:tc>
                <w:tcPr>
                  <w:tcW w:w="1559" w:type="dxa"/>
                </w:tcPr>
                <w:p>
                  <w:pPr>
                    <w:widowControl/>
                    <w:jc w:val="left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便携机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98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关闭状态</w:t>
                  </w:r>
                </w:p>
              </w:tc>
              <w:tc>
                <w:tcPr>
                  <w:tcW w:w="1701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15%</w:t>
                  </w:r>
                </w:p>
              </w:tc>
              <w:tc>
                <w:tcPr>
                  <w:tcW w:w="1559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30%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898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睡眠状态</w:t>
                  </w:r>
                </w:p>
              </w:tc>
              <w:tc>
                <w:tcPr>
                  <w:tcW w:w="1701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45%</w:t>
                  </w:r>
                </w:p>
              </w:tc>
              <w:tc>
                <w:tcPr>
                  <w:tcW w:w="1559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60%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898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长时空闲状态</w:t>
                  </w:r>
                </w:p>
              </w:tc>
              <w:tc>
                <w:tcPr>
                  <w:tcW w:w="1701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10%</w:t>
                  </w:r>
                </w:p>
              </w:tc>
              <w:tc>
                <w:tcPr>
                  <w:tcW w:w="1559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10%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898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短时空闲状态</w:t>
                  </w:r>
                </w:p>
              </w:tc>
              <w:tc>
                <w:tcPr>
                  <w:tcW w:w="1701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30%</w:t>
                  </w:r>
                </w:p>
              </w:tc>
              <w:tc>
                <w:tcPr>
                  <w:tcW w:w="1559" w:type="dxa"/>
                </w:tcPr>
                <w:p>
                  <w:pPr>
                    <w:widowControl/>
                    <w:jc w:val="center"/>
                    <w:rPr>
                      <w:rFonts w:ascii="宋体" w:hAnsi="宋体" w:cs="宋体" w:eastAsiaTheme="minorEastAsia"/>
                    </w:rPr>
                  </w:pPr>
                  <w:r>
                    <w:rPr>
                      <w:rFonts w:hint="eastAsia" w:ascii="宋体" w:hAnsi="宋体" w:cs="宋体" w:eastAsiaTheme="minorEastAsia"/>
                    </w:rPr>
                    <w:t>20%</w:t>
                  </w:r>
                </w:p>
              </w:tc>
            </w:tr>
          </w:tbl>
          <w:p>
            <w:pPr>
              <w:jc w:val="left"/>
              <w:rPr>
                <w:rFonts w:ascii="宋体" w:hAnsi="宋体" w:cs="宋体" w:eastAsiaTheme="minorEastAsia"/>
              </w:rPr>
            </w:pPr>
          </w:p>
        </w:tc>
        <w:tc>
          <w:tcPr>
            <w:tcW w:w="1963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是</w:t>
            </w:r>
          </w:p>
          <w:p>
            <w:pPr>
              <w:jc w:val="center"/>
              <w:rPr>
                <w:rFonts w:ascii="宋体" w:hAnsi="宋体" w:cs="宋体" w:eastAsiaTheme="minorEastAsia"/>
              </w:rPr>
            </w:pP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新增 ALPM 模式，细化空闲状态分类，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更改了典型能源消耗的计算公式，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调整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了各状态所占时间百分比，更改了附加功能功耗因子功率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276" w:type="dxa"/>
            <w:vMerge w:val="continue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</w:p>
        </w:tc>
        <w:tc>
          <w:tcPr>
            <w:tcW w:w="3854" w:type="dxa"/>
            <w:vAlign w:val="center"/>
          </w:tcPr>
          <w:p>
            <w:pPr>
              <w:widowControl/>
              <w:jc w:val="left"/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Style w:val="10"/>
                <w:rFonts w:ascii="Segoe UI" w:hAnsi="Segoe UI" w:eastAsia="Segoe UI" w:cs="Segoe UI"/>
                <w:b w:val="0"/>
                <w:bCs/>
                <w:color w:val="222222"/>
                <w:kern w:val="0"/>
                <w:szCs w:val="21"/>
                <w:lang w:bidi="ar"/>
              </w:rPr>
              <w:t>附加功能功耗因子</w:t>
            </w:r>
            <w:r>
              <w:rPr>
                <w:rStyle w:val="10"/>
                <w:rFonts w:hint="eastAsia" w:ascii="Segoe UI" w:hAnsi="Segoe UI" w:cs="Segoe UI" w:eastAsiaTheme="minorEastAsia"/>
                <w:b w:val="0"/>
                <w:bCs/>
                <w:color w:val="222222"/>
                <w:kern w:val="0"/>
                <w:szCs w:val="21"/>
                <w:lang w:bidi="ar"/>
              </w:rPr>
              <w:t>：</w:t>
            </w:r>
            <w:r>
              <w:rPr>
                <w:rStyle w:val="10"/>
                <w:rFonts w:ascii="Segoe UI" w:hAnsi="Segoe UI" w:cs="Segoe UI" w:eastAsiaTheme="minorEastAsia"/>
                <w:b w:val="0"/>
                <w:bCs/>
                <w:color w:val="222222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规定了内存、GPU、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内部</w:t>
            </w:r>
            <w:r>
              <w:rPr>
                <w:rFonts w:hint="eastAsia" w:ascii="Segoe UI" w:hAnsi="Segoe UI" w:eastAsia="Segoe UI" w:cs="Segoe UI"/>
                <w:color w:val="222222"/>
                <w:kern w:val="0"/>
                <w:szCs w:val="21"/>
                <w:lang w:bidi="ar"/>
              </w:rPr>
              <w:t>存储的附加功能功耗因子</w:t>
            </w: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</w:rPr>
            </w:pPr>
          </w:p>
        </w:tc>
        <w:tc>
          <w:tcPr>
            <w:tcW w:w="5643" w:type="dxa"/>
            <w:vAlign w:val="center"/>
          </w:tcPr>
          <w:p>
            <w:pPr>
              <w:jc w:val="left"/>
              <w:rPr>
                <w:rStyle w:val="10"/>
                <w:rFonts w:ascii="Segoe UI" w:hAnsi="Segoe UI" w:cs="Segoe UI" w:eastAsiaTheme="minorEastAsia"/>
                <w:b w:val="0"/>
                <w:bCs/>
                <w:color w:val="222222"/>
                <w:kern w:val="0"/>
                <w:szCs w:val="21"/>
                <w:lang w:bidi="ar"/>
              </w:rPr>
            </w:pPr>
            <w:r>
              <w:rPr>
                <w:rStyle w:val="10"/>
                <w:rFonts w:ascii="Segoe UI" w:hAnsi="Segoe UI" w:eastAsia="Segoe UI" w:cs="Segoe UI"/>
                <w:b w:val="0"/>
                <w:bCs/>
                <w:color w:val="222222"/>
                <w:kern w:val="0"/>
                <w:szCs w:val="21"/>
                <w:lang w:bidi="ar"/>
              </w:rPr>
              <w:t>附加功能功耗因子</w:t>
            </w:r>
            <w:r>
              <w:rPr>
                <w:rStyle w:val="10"/>
                <w:rFonts w:hint="eastAsia" w:ascii="Segoe UI" w:hAnsi="Segoe UI" w:cs="Segoe UI" w:eastAsiaTheme="minorEastAsia"/>
                <w:b w:val="0"/>
                <w:bCs/>
                <w:color w:val="222222"/>
                <w:kern w:val="0"/>
                <w:szCs w:val="21"/>
                <w:lang w:bidi="ar"/>
              </w:rPr>
              <w:t>：</w:t>
            </w:r>
          </w:p>
          <w:p>
            <w:pPr>
              <w:jc w:val="left"/>
              <w:rPr>
                <w:rFonts w:ascii="Segoe UI" w:hAnsi="Segoe UI" w:cs="Segoe UI" w:eastAsiaTheme="minorEastAsia"/>
                <w:b/>
                <w:color w:val="222222"/>
                <w:kern w:val="0"/>
                <w:szCs w:val="21"/>
                <w:lang w:bidi="ar"/>
              </w:rPr>
            </w:pPr>
            <w:r>
              <w:rPr>
                <w:rStyle w:val="10"/>
                <w:rFonts w:hint="eastAsia"/>
                <w:b w:val="0"/>
                <w:bCs/>
              </w:rPr>
              <w:t>按CPU工艺做区分，分别</w:t>
            </w:r>
            <w:r>
              <w:rPr>
                <w:rStyle w:val="10"/>
                <w:b w:val="0"/>
                <w:bCs/>
              </w:rPr>
              <w:t>新增</w:t>
            </w:r>
            <w:r>
              <w:rPr>
                <w:rStyle w:val="10"/>
                <w:rFonts w:hint="eastAsia"/>
                <w:b w:val="0"/>
                <w:bCs/>
              </w:rPr>
              <w:t>了</w:t>
            </w:r>
            <w:r>
              <w:rPr>
                <w:rStyle w:val="10"/>
                <w:b w:val="0"/>
                <w:bCs/>
              </w:rPr>
              <w:t>电源适配器、</w:t>
            </w:r>
            <w:r>
              <w:rPr>
                <w:rStyle w:val="10"/>
                <w:rFonts w:hint="eastAsia"/>
                <w:b w:val="0"/>
                <w:bCs/>
              </w:rPr>
              <w:t>MCX</w:t>
            </w:r>
            <w:r>
              <w:rPr>
                <w:rStyle w:val="10"/>
                <w:b w:val="0"/>
                <w:bCs/>
              </w:rPr>
              <w:t>独立显示单元</w:t>
            </w:r>
            <w:r>
              <w:rPr>
                <w:rStyle w:val="10"/>
                <w:rFonts w:hint="eastAsia"/>
                <w:b w:val="0"/>
                <w:bCs/>
              </w:rPr>
              <w:t>、</w:t>
            </w:r>
            <w:r>
              <w:rPr>
                <w:rStyle w:val="10"/>
                <w:b w:val="0"/>
                <w:bCs/>
              </w:rPr>
              <w:t>可切换显示单元、</w:t>
            </w:r>
            <w:r>
              <w:rPr>
                <w:rStyle w:val="10"/>
                <w:rFonts w:hint="eastAsia"/>
                <w:b w:val="0"/>
                <w:bCs/>
              </w:rPr>
              <w:t>显示屏、</w:t>
            </w:r>
            <w:r>
              <w:rPr>
                <w:rStyle w:val="10"/>
                <w:b w:val="0"/>
                <w:bCs/>
              </w:rPr>
              <w:t>网络接口</w:t>
            </w:r>
            <w:r>
              <w:rPr>
                <w:rStyle w:val="10"/>
                <w:rFonts w:hint="eastAsia"/>
                <w:b w:val="0"/>
                <w:bCs/>
              </w:rPr>
              <w:t>的附加功能功耗因子</w:t>
            </w:r>
          </w:p>
        </w:tc>
        <w:tc>
          <w:tcPr>
            <w:tcW w:w="196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2" w:hRule="atLeast"/>
          <w:jc w:val="center"/>
        </w:trPr>
        <w:tc>
          <w:tcPr>
            <w:tcW w:w="1276" w:type="dxa"/>
            <w:vAlign w:val="center"/>
          </w:tcPr>
          <w:p>
            <w:pPr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附录A 微型计算机典型能源消耗试验方法</w:t>
            </w:r>
          </w:p>
        </w:tc>
        <w:tc>
          <w:tcPr>
            <w:tcW w:w="3854" w:type="dxa"/>
            <w:vAlign w:val="center"/>
          </w:tcPr>
          <w:p>
            <w:pPr>
              <w:widowControl/>
              <w:jc w:val="left"/>
              <w:rPr>
                <w:szCs w:val="21"/>
              </w:rPr>
            </w:pP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测试关闭、睡眠、空闲状态功耗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附录A 微型计算机典型能源消耗试验方法</w:t>
            </w:r>
          </w:p>
        </w:tc>
        <w:tc>
          <w:tcPr>
            <w:tcW w:w="5643" w:type="dxa"/>
            <w:vAlign w:val="center"/>
          </w:tcPr>
          <w:p>
            <w:pPr>
              <w:rPr>
                <w:rFonts w:ascii="Segoe UI" w:hAnsi="Segoe UI" w:cs="Segoe UI" w:eastAsiaTheme="minorEastAsia"/>
                <w:color w:val="222222"/>
                <w:kern w:val="0"/>
                <w:szCs w:val="21"/>
                <w:lang w:bidi="ar"/>
              </w:rPr>
            </w:pP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新增长时空闲、短时空闲、ALPM 状态测试</w:t>
            </w:r>
          </w:p>
          <w:p>
            <w:pPr>
              <w:rPr>
                <w:szCs w:val="21"/>
              </w:rPr>
            </w:pP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对于一体机和便携式计算机增加了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屏幕亮度</w:t>
            </w:r>
            <w:r>
              <w:rPr>
                <w:rFonts w:hint="eastAsia" w:ascii="Segoe UI" w:hAnsi="Segoe UI" w:cs="Segoe UI" w:eastAsiaTheme="minorEastAsia"/>
                <w:color w:val="222222"/>
                <w:kern w:val="0"/>
                <w:szCs w:val="21"/>
                <w:lang w:bidi="ar"/>
              </w:rPr>
              <w:t>的测试</w:t>
            </w:r>
            <w:r>
              <w:rPr>
                <w:rFonts w:ascii="Segoe UI" w:hAnsi="Segoe UI" w:eastAsia="Segoe UI" w:cs="Segoe UI"/>
                <w:color w:val="222222"/>
                <w:kern w:val="0"/>
                <w:szCs w:val="21"/>
                <w:lang w:bidi="ar"/>
              </w:rPr>
              <w:t>要求</w:t>
            </w:r>
          </w:p>
        </w:tc>
        <w:tc>
          <w:tcPr>
            <w:tcW w:w="1963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更改了测试方法和测试状态</w:t>
            </w:r>
          </w:p>
        </w:tc>
      </w:tr>
    </w:tbl>
    <w:p>
      <w:pPr>
        <w:jc w:val="center"/>
        <w:rPr>
          <w:rFonts w:asciiTheme="majorEastAsia" w:hAnsiTheme="majorEastAsia" w:eastAsiaTheme="majorEastAsia"/>
          <w:color w:val="000000"/>
          <w:sz w:val="24"/>
          <w:szCs w:val="21"/>
        </w:rPr>
      </w:pPr>
    </w:p>
    <w:sectPr>
      <w:pgSz w:w="16838" w:h="11906" w:orient="landscape"/>
      <w:pgMar w:top="1800" w:right="1440" w:bottom="141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kN2NkZmUyMmI1Nzc3ZmE5ZTIyYjBjMDhiODc5ODUifQ=="/>
  </w:docVars>
  <w:rsids>
    <w:rsidRoot w:val="00172A27"/>
    <w:rsid w:val="00011A59"/>
    <w:rsid w:val="000601BC"/>
    <w:rsid w:val="00095894"/>
    <w:rsid w:val="000A6677"/>
    <w:rsid w:val="00114872"/>
    <w:rsid w:val="00172A27"/>
    <w:rsid w:val="00197966"/>
    <w:rsid w:val="001B5A5B"/>
    <w:rsid w:val="001F3C5F"/>
    <w:rsid w:val="00204540"/>
    <w:rsid w:val="0022491B"/>
    <w:rsid w:val="002644E5"/>
    <w:rsid w:val="00272603"/>
    <w:rsid w:val="002A3AC8"/>
    <w:rsid w:val="002D4A75"/>
    <w:rsid w:val="002D5AC4"/>
    <w:rsid w:val="002D614F"/>
    <w:rsid w:val="002F245F"/>
    <w:rsid w:val="00321D1A"/>
    <w:rsid w:val="00333F9C"/>
    <w:rsid w:val="003464DA"/>
    <w:rsid w:val="003600F3"/>
    <w:rsid w:val="003724E2"/>
    <w:rsid w:val="003E72C2"/>
    <w:rsid w:val="00443CB0"/>
    <w:rsid w:val="00466FB8"/>
    <w:rsid w:val="004A3132"/>
    <w:rsid w:val="00520BBE"/>
    <w:rsid w:val="00537EA9"/>
    <w:rsid w:val="00563BFF"/>
    <w:rsid w:val="005A3FCC"/>
    <w:rsid w:val="006501FB"/>
    <w:rsid w:val="006539AB"/>
    <w:rsid w:val="006906E8"/>
    <w:rsid w:val="006A460A"/>
    <w:rsid w:val="006E1F1E"/>
    <w:rsid w:val="006E76D8"/>
    <w:rsid w:val="006F2510"/>
    <w:rsid w:val="006F5932"/>
    <w:rsid w:val="007850EF"/>
    <w:rsid w:val="007A66A1"/>
    <w:rsid w:val="007D22B8"/>
    <w:rsid w:val="007D7281"/>
    <w:rsid w:val="007F0BE2"/>
    <w:rsid w:val="0080650D"/>
    <w:rsid w:val="0083289E"/>
    <w:rsid w:val="00842CFA"/>
    <w:rsid w:val="00843EE4"/>
    <w:rsid w:val="00857073"/>
    <w:rsid w:val="008778EB"/>
    <w:rsid w:val="008C6C96"/>
    <w:rsid w:val="00930508"/>
    <w:rsid w:val="009E2AE6"/>
    <w:rsid w:val="009F4B3D"/>
    <w:rsid w:val="00A22AC6"/>
    <w:rsid w:val="00A706FD"/>
    <w:rsid w:val="00A87C2E"/>
    <w:rsid w:val="00A92E02"/>
    <w:rsid w:val="00AA08E1"/>
    <w:rsid w:val="00B00145"/>
    <w:rsid w:val="00B14228"/>
    <w:rsid w:val="00C130DD"/>
    <w:rsid w:val="00C44066"/>
    <w:rsid w:val="00CD50CA"/>
    <w:rsid w:val="00D70CBC"/>
    <w:rsid w:val="00D7640E"/>
    <w:rsid w:val="00DD3977"/>
    <w:rsid w:val="00E0506E"/>
    <w:rsid w:val="00E17B47"/>
    <w:rsid w:val="00E56735"/>
    <w:rsid w:val="00E9700D"/>
    <w:rsid w:val="00EC7BF1"/>
    <w:rsid w:val="00F07AF6"/>
    <w:rsid w:val="00F44940"/>
    <w:rsid w:val="00F45E5A"/>
    <w:rsid w:val="00F62729"/>
    <w:rsid w:val="00FE51A6"/>
    <w:rsid w:val="00FF4A2F"/>
    <w:rsid w:val="071C50DA"/>
    <w:rsid w:val="08B17BE1"/>
    <w:rsid w:val="0AB12E2F"/>
    <w:rsid w:val="0E2F3A82"/>
    <w:rsid w:val="13306EC2"/>
    <w:rsid w:val="1343127C"/>
    <w:rsid w:val="14333BA0"/>
    <w:rsid w:val="15352F53"/>
    <w:rsid w:val="19847692"/>
    <w:rsid w:val="24795892"/>
    <w:rsid w:val="2E875C48"/>
    <w:rsid w:val="31630C86"/>
    <w:rsid w:val="39CA6413"/>
    <w:rsid w:val="3B3616FD"/>
    <w:rsid w:val="3F1772EF"/>
    <w:rsid w:val="41E719A3"/>
    <w:rsid w:val="4504286C"/>
    <w:rsid w:val="47A3636C"/>
    <w:rsid w:val="49216413"/>
    <w:rsid w:val="4B49722A"/>
    <w:rsid w:val="4C6F4A6E"/>
    <w:rsid w:val="4D2770F7"/>
    <w:rsid w:val="4EF83441"/>
    <w:rsid w:val="4F4A2906"/>
    <w:rsid w:val="53862715"/>
    <w:rsid w:val="59AF6DF2"/>
    <w:rsid w:val="5AAD0A5D"/>
    <w:rsid w:val="623954AB"/>
    <w:rsid w:val="681744E0"/>
    <w:rsid w:val="6922643B"/>
    <w:rsid w:val="6B061AB8"/>
    <w:rsid w:val="72DB392F"/>
    <w:rsid w:val="74123DAE"/>
    <w:rsid w:val="75175B20"/>
    <w:rsid w:val="7A63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0"/>
    <w:pPr>
      <w:jc w:val="left"/>
    </w:pPr>
    <w:rPr>
      <w:rFonts w:ascii="Calibri" w:hAnsi="Calibri"/>
    </w:rPr>
  </w:style>
  <w:style w:type="paragraph" w:styleId="3">
    <w:name w:val="Balloon Text"/>
    <w:basedOn w:val="1"/>
    <w:link w:val="15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Default"/>
    <w:unhideWhenUsed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15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CQC</Company>
  <Pages>2</Pages>
  <Words>187</Words>
  <Characters>1072</Characters>
  <Lines>8</Lines>
  <Paragraphs>2</Paragraphs>
  <TotalTime>2</TotalTime>
  <ScaleCrop>false</ScaleCrop>
  <LinksUpToDate>false</LinksUpToDate>
  <CharactersWithSpaces>1257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2023-09-25T02:46:00Z</dcterms:created>
  <dc:creator>李丹</dc:creator>
  <cp:lastModifiedBy>崔颖</cp:lastModifiedBy>
  <dcterms:modified xsi:type="dcterms:W3CDTF">2025-07-23T07:07:16Z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93EF9D591C1C4D678AE694A6332A5D83</vt:lpwstr>
  </property>
</Properties>
</file>