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sz w:val="28"/>
          <w:szCs w:val="28"/>
        </w:rPr>
      </w:pPr>
      <w:bookmarkStart w:id="0" w:name="_GoBack"/>
      <w:bookmarkEnd w:id="0"/>
      <w:r>
        <w:rPr>
          <w:sz w:val="28"/>
          <w:szCs w:val="28"/>
        </w:rPr>
        <w:t>附件：</w:t>
      </w:r>
    </w:p>
    <w:p>
      <w:pPr>
        <w:jc w:val="center"/>
        <w:rPr>
          <w:sz w:val="32"/>
        </w:rPr>
      </w:pPr>
      <w:r>
        <w:rPr>
          <w:rFonts w:hint="eastAsia"/>
          <w:sz w:val="32"/>
        </w:rPr>
        <w:t>显示器节能认证依据新旧版标准主要差异和补充试验要求</w:t>
      </w:r>
    </w:p>
    <w:p>
      <w:pPr>
        <w:jc w:val="center"/>
        <w:rPr>
          <w:rFonts w:hint="eastAsia" w:asciiTheme="majorEastAsia" w:hAnsiTheme="majorEastAsia" w:eastAsiaTheme="majorEastAsia"/>
          <w:color w:val="000000"/>
          <w:sz w:val="24"/>
          <w:szCs w:val="21"/>
        </w:rPr>
      </w:pPr>
    </w:p>
    <w:p>
      <w:pPr>
        <w:ind w:firstLine="480" w:firstLineChars="200"/>
        <w:rPr>
          <w:rFonts w:asciiTheme="majorEastAsia" w:hAnsiTheme="majorEastAsia" w:eastAsiaTheme="majorEastAsia"/>
          <w:color w:val="000000"/>
          <w:sz w:val="24"/>
          <w:szCs w:val="21"/>
        </w:rPr>
      </w:pPr>
      <w:r>
        <w:rPr>
          <w:rFonts w:asciiTheme="majorEastAsia" w:hAnsiTheme="majorEastAsia" w:eastAsiaTheme="majorEastAsia"/>
          <w:color w:val="000000"/>
          <w:sz w:val="24"/>
          <w:szCs w:val="21"/>
        </w:rPr>
        <w:t>新版标准</w:t>
      </w:r>
      <w:r>
        <w:rPr>
          <w:rFonts w:hint="eastAsia" w:asciiTheme="majorEastAsia" w:hAnsiTheme="majorEastAsia" w:eastAsiaTheme="majorEastAsia"/>
          <w:color w:val="000000"/>
          <w:sz w:val="24"/>
          <w:szCs w:val="21"/>
        </w:rPr>
        <w:t>GB</w:t>
      </w:r>
      <w:r>
        <w:rPr>
          <w:rFonts w:asciiTheme="majorEastAsia" w:hAnsiTheme="majorEastAsia" w:eastAsiaTheme="majorEastAsia"/>
          <w:color w:val="000000"/>
          <w:sz w:val="24"/>
          <w:szCs w:val="21"/>
        </w:rPr>
        <w:t xml:space="preserve"> 21520-2023与旧版标准</w:t>
      </w:r>
      <w:r>
        <w:rPr>
          <w:rFonts w:hint="eastAsia" w:asciiTheme="majorEastAsia" w:hAnsiTheme="majorEastAsia" w:eastAsiaTheme="majorEastAsia"/>
          <w:color w:val="000000"/>
          <w:sz w:val="24"/>
          <w:szCs w:val="21"/>
        </w:rPr>
        <w:t>GB</w:t>
      </w:r>
      <w:r>
        <w:rPr>
          <w:rFonts w:asciiTheme="majorEastAsia" w:hAnsiTheme="majorEastAsia" w:eastAsiaTheme="majorEastAsia"/>
          <w:color w:val="000000"/>
          <w:sz w:val="24"/>
          <w:szCs w:val="21"/>
        </w:rPr>
        <w:t xml:space="preserve"> 21520-2015主要差异和补充试验要求如下：</w:t>
      </w:r>
    </w:p>
    <w:tbl>
      <w:tblPr>
        <w:tblStyle w:val="7"/>
        <w:tblW w:w="14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2578"/>
        <w:gridCol w:w="992"/>
        <w:gridCol w:w="5812"/>
        <w:gridCol w:w="2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blHeader/>
          <w:jc w:val="center"/>
        </w:trPr>
        <w:tc>
          <w:tcPr>
            <w:tcW w:w="1702" w:type="dxa"/>
            <w:shd w:val="clear" w:color="auto" w:fill="F2F2F2"/>
            <w:vAlign w:val="center"/>
          </w:tcPr>
          <w:p>
            <w:pPr>
              <w:jc w:val="center"/>
              <w:rPr>
                <w:b/>
                <w:szCs w:val="21"/>
              </w:rPr>
            </w:pPr>
            <w:r>
              <w:rPr>
                <w:rFonts w:hint="eastAsia"/>
                <w:b/>
                <w:szCs w:val="21"/>
              </w:rPr>
              <w:t>旧标准章节</w:t>
            </w:r>
          </w:p>
        </w:tc>
        <w:tc>
          <w:tcPr>
            <w:tcW w:w="2578" w:type="dxa"/>
            <w:shd w:val="clear" w:color="auto" w:fill="F2F2F2"/>
            <w:vAlign w:val="center"/>
          </w:tcPr>
          <w:p>
            <w:pPr>
              <w:jc w:val="center"/>
              <w:rPr>
                <w:b/>
                <w:szCs w:val="21"/>
              </w:rPr>
            </w:pPr>
            <w:r>
              <w:rPr>
                <w:rFonts w:asciiTheme="majorEastAsia" w:hAnsiTheme="majorEastAsia" w:eastAsiaTheme="majorEastAsia"/>
                <w:color w:val="000000"/>
                <w:sz w:val="24"/>
                <w:szCs w:val="21"/>
              </w:rPr>
              <w:t>GB 21520-2015</w:t>
            </w:r>
          </w:p>
        </w:tc>
        <w:tc>
          <w:tcPr>
            <w:tcW w:w="992" w:type="dxa"/>
            <w:shd w:val="clear" w:color="auto" w:fill="F2F2F2"/>
            <w:vAlign w:val="center"/>
          </w:tcPr>
          <w:p>
            <w:pPr>
              <w:jc w:val="center"/>
              <w:rPr>
                <w:rFonts w:asciiTheme="majorEastAsia" w:hAnsiTheme="majorEastAsia" w:eastAsiaTheme="majorEastAsia"/>
                <w:color w:val="000000"/>
                <w:sz w:val="24"/>
                <w:szCs w:val="21"/>
              </w:rPr>
            </w:pPr>
            <w:r>
              <w:rPr>
                <w:b/>
                <w:szCs w:val="21"/>
              </w:rPr>
              <w:t>新标准章节</w:t>
            </w:r>
          </w:p>
        </w:tc>
        <w:tc>
          <w:tcPr>
            <w:tcW w:w="5812" w:type="dxa"/>
            <w:shd w:val="clear" w:color="auto" w:fill="F2F2F2"/>
            <w:vAlign w:val="center"/>
          </w:tcPr>
          <w:p>
            <w:pPr>
              <w:jc w:val="center"/>
              <w:rPr>
                <w:b/>
                <w:szCs w:val="21"/>
              </w:rPr>
            </w:pPr>
            <w:r>
              <w:rPr>
                <w:rFonts w:asciiTheme="majorEastAsia" w:hAnsiTheme="majorEastAsia" w:eastAsiaTheme="majorEastAsia"/>
                <w:color w:val="000000"/>
                <w:sz w:val="24"/>
                <w:szCs w:val="21"/>
              </w:rPr>
              <w:t>GB 21520-2023</w:t>
            </w:r>
          </w:p>
        </w:tc>
        <w:tc>
          <w:tcPr>
            <w:tcW w:w="2928" w:type="dxa"/>
            <w:shd w:val="clear" w:color="auto" w:fill="F2F2F2"/>
            <w:vAlign w:val="center"/>
          </w:tcPr>
          <w:p>
            <w:pPr>
              <w:jc w:val="center"/>
              <w:rPr>
                <w:b/>
                <w:szCs w:val="21"/>
              </w:rPr>
            </w:pPr>
            <w:r>
              <w:rPr>
                <w:b/>
                <w:szCs w:val="21"/>
              </w:rPr>
              <w:t>是否补充试验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702" w:type="dxa"/>
            <w:vAlign w:val="center"/>
          </w:tcPr>
          <w:p>
            <w:pPr>
              <w:jc w:val="left"/>
              <w:rPr>
                <w:szCs w:val="21"/>
              </w:rPr>
            </w:pPr>
            <w:r>
              <w:rPr>
                <w:rFonts w:hint="eastAsia"/>
                <w:szCs w:val="21"/>
              </w:rPr>
              <w:t>1 范围</w:t>
            </w:r>
          </w:p>
        </w:tc>
        <w:tc>
          <w:tcPr>
            <w:tcW w:w="2578" w:type="dxa"/>
            <w:vAlign w:val="center"/>
          </w:tcPr>
          <w:p>
            <w:pPr>
              <w:ind w:firstLine="420" w:firstLineChars="200"/>
              <w:jc w:val="left"/>
              <w:rPr>
                <w:rFonts w:ascii="宋体" w:hAnsi="宋体" w:cs="宋体"/>
              </w:rPr>
            </w:pPr>
            <w:r>
              <w:rPr>
                <w:rFonts w:hint="eastAsia" w:ascii="宋体" w:hAnsi="宋体" w:cs="宋体"/>
              </w:rPr>
              <w:t>产品名称：计算机显示器；</w:t>
            </w:r>
          </w:p>
          <w:p>
            <w:pPr>
              <w:ind w:firstLine="420" w:firstLineChars="200"/>
              <w:jc w:val="left"/>
              <w:rPr>
                <w:rFonts w:ascii="宋体" w:hAnsi="宋体" w:cs="宋体"/>
              </w:rPr>
            </w:pPr>
            <w:r>
              <w:rPr>
                <w:rFonts w:hint="eastAsia" w:ascii="宋体" w:hAnsi="宋体" w:cs="宋体"/>
              </w:rPr>
              <w:t>适用范围：适用于液晶显示器，也适用于主要功能为计算机显示器，带有调谐器/接收器的显示设备。</w:t>
            </w:r>
          </w:p>
        </w:tc>
        <w:tc>
          <w:tcPr>
            <w:tcW w:w="992" w:type="dxa"/>
            <w:vAlign w:val="center"/>
          </w:tcPr>
          <w:p>
            <w:pPr>
              <w:jc w:val="left"/>
              <w:rPr>
                <w:rFonts w:ascii="宋体" w:hAnsi="宋体" w:cs="宋体"/>
              </w:rPr>
            </w:pPr>
            <w:r>
              <w:rPr>
                <w:rFonts w:hint="eastAsia" w:ascii="宋体" w:hAnsi="宋体" w:cs="宋体"/>
              </w:rPr>
              <w:t>1 范围</w:t>
            </w:r>
          </w:p>
        </w:tc>
        <w:tc>
          <w:tcPr>
            <w:tcW w:w="5812" w:type="dxa"/>
            <w:vAlign w:val="center"/>
          </w:tcPr>
          <w:p>
            <w:pPr>
              <w:ind w:firstLine="420" w:firstLineChars="200"/>
              <w:jc w:val="left"/>
              <w:rPr>
                <w:rFonts w:ascii="宋体" w:hAnsi="宋体" w:cs="宋体"/>
              </w:rPr>
            </w:pPr>
            <w:r>
              <w:rPr>
                <w:rFonts w:hint="eastAsia" w:ascii="宋体" w:hAnsi="宋体" w:cs="宋体"/>
              </w:rPr>
              <w:t>产品名称：计算机显示器修改为显示器；</w:t>
            </w:r>
          </w:p>
          <w:p>
            <w:pPr>
              <w:ind w:firstLine="420" w:firstLineChars="200"/>
              <w:jc w:val="left"/>
              <w:rPr>
                <w:rFonts w:ascii="宋体" w:hAnsi="宋体" w:cs="宋体"/>
              </w:rPr>
            </w:pPr>
            <w:r>
              <w:rPr>
                <w:rFonts w:hint="eastAsia" w:ascii="宋体" w:hAnsi="宋体" w:cs="宋体"/>
              </w:rPr>
              <w:t>适用范围：显示方式上增加了有机发光二极管（</w:t>
            </w:r>
            <w:r>
              <w:rPr>
                <w:rFonts w:ascii="宋体" w:hAnsi="宋体" w:cs="宋体"/>
              </w:rPr>
              <w:t>OLED</w:t>
            </w:r>
            <w:r>
              <w:rPr>
                <w:rFonts w:hint="eastAsia" w:ascii="宋体" w:hAnsi="宋体" w:cs="宋体"/>
              </w:rPr>
              <w:t>）和发光二极管（</w:t>
            </w:r>
            <w:r>
              <w:rPr>
                <w:rFonts w:ascii="宋体" w:hAnsi="宋体" w:cs="宋体"/>
              </w:rPr>
              <w:t>LED</w:t>
            </w:r>
            <w:r>
              <w:rPr>
                <w:rFonts w:hint="eastAsia" w:ascii="宋体" w:hAnsi="宋体" w:cs="宋体"/>
              </w:rPr>
              <w:t xml:space="preserve">）显示方式的显示器；供电方式上，增加了直流供电的显示器；产品用途上，增加了商用显示器。 </w:t>
            </w:r>
          </w:p>
        </w:tc>
        <w:tc>
          <w:tcPr>
            <w:tcW w:w="2928" w:type="dxa"/>
            <w:vAlign w:val="center"/>
          </w:tcPr>
          <w:p>
            <w:pPr>
              <w:jc w:val="center"/>
              <w:rPr>
                <w:szCs w:val="21"/>
              </w:rPr>
            </w:pPr>
            <w:r>
              <w:rPr>
                <w:rFonts w:hint="eastAsia"/>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702" w:type="dxa"/>
            <w:vAlign w:val="center"/>
          </w:tcPr>
          <w:p>
            <w:pPr>
              <w:jc w:val="left"/>
              <w:rPr>
                <w:szCs w:val="21"/>
              </w:rPr>
            </w:pPr>
            <w:r>
              <w:rPr>
                <w:rFonts w:hint="eastAsia"/>
                <w:szCs w:val="21"/>
              </w:rPr>
              <w:t>2 规范性引用文件</w:t>
            </w:r>
          </w:p>
        </w:tc>
        <w:tc>
          <w:tcPr>
            <w:tcW w:w="2578" w:type="dxa"/>
            <w:vAlign w:val="center"/>
          </w:tcPr>
          <w:p>
            <w:pPr>
              <w:ind w:firstLine="420" w:firstLineChars="200"/>
              <w:jc w:val="left"/>
              <w:rPr>
                <w:rFonts w:ascii="宋体" w:hAnsi="宋体" w:cs="宋体"/>
              </w:rPr>
            </w:pPr>
            <w:r>
              <w:rPr>
                <w:rFonts w:hint="eastAsia" w:ascii="宋体" w:hAnsi="宋体" w:cs="宋体"/>
              </w:rPr>
              <w:t>GB/T 8170、GB 20943</w:t>
            </w:r>
          </w:p>
        </w:tc>
        <w:tc>
          <w:tcPr>
            <w:tcW w:w="992" w:type="dxa"/>
            <w:vAlign w:val="center"/>
          </w:tcPr>
          <w:p>
            <w:pPr>
              <w:jc w:val="left"/>
              <w:rPr>
                <w:rFonts w:ascii="宋体" w:hAnsi="宋体" w:cs="宋体"/>
              </w:rPr>
            </w:pPr>
            <w:r>
              <w:rPr>
                <w:rFonts w:hint="eastAsia" w:ascii="宋体" w:hAnsi="宋体" w:cs="宋体"/>
              </w:rPr>
              <w:t>2 规范性引用文件</w:t>
            </w:r>
          </w:p>
        </w:tc>
        <w:tc>
          <w:tcPr>
            <w:tcW w:w="5812" w:type="dxa"/>
            <w:vAlign w:val="center"/>
          </w:tcPr>
          <w:p>
            <w:pPr>
              <w:ind w:firstLine="420" w:firstLineChars="200"/>
              <w:jc w:val="left"/>
              <w:rPr>
                <w:rFonts w:ascii="宋体" w:hAnsi="宋体" w:cs="宋体"/>
              </w:rPr>
            </w:pPr>
            <w:r>
              <w:rPr>
                <w:rFonts w:hint="eastAsia" w:ascii="宋体" w:hAnsi="宋体" w:cs="宋体"/>
              </w:rPr>
              <w:t>增加SJ/T 11141、 SJ/T 11281、IEC 62087-2:2015、ITU-R BT.2100。</w:t>
            </w:r>
          </w:p>
        </w:tc>
        <w:tc>
          <w:tcPr>
            <w:tcW w:w="2928" w:type="dxa"/>
          </w:tcPr>
          <w:p>
            <w:pPr>
              <w:jc w:val="center"/>
              <w:rPr>
                <w:szCs w:val="21"/>
              </w:rPr>
            </w:pPr>
            <w:r>
              <w:rPr>
                <w:rFonts w:hint="eastAsia"/>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702" w:type="dxa"/>
            <w:vAlign w:val="center"/>
          </w:tcPr>
          <w:p>
            <w:pPr>
              <w:jc w:val="left"/>
              <w:rPr>
                <w:szCs w:val="21"/>
              </w:rPr>
            </w:pPr>
            <w:r>
              <w:rPr>
                <w:rFonts w:hint="eastAsia" w:ascii="宋体" w:hAnsi="宋体" w:cs="宋体"/>
              </w:rPr>
              <w:t>3 术语和定义</w:t>
            </w:r>
          </w:p>
        </w:tc>
        <w:tc>
          <w:tcPr>
            <w:tcW w:w="2578" w:type="dxa"/>
            <w:vAlign w:val="center"/>
          </w:tcPr>
          <w:p>
            <w:pPr>
              <w:ind w:firstLine="420" w:firstLineChars="200"/>
              <w:jc w:val="left"/>
              <w:rPr>
                <w:rFonts w:ascii="宋体" w:hAnsi="宋体" w:cs="宋体"/>
              </w:rPr>
            </w:pPr>
            <w:r>
              <w:rPr>
                <w:rFonts w:hint="eastAsia" w:ascii="宋体" w:hAnsi="宋体" w:cs="宋体"/>
              </w:rPr>
              <w:t>给出了相关术语和定义</w:t>
            </w:r>
          </w:p>
        </w:tc>
        <w:tc>
          <w:tcPr>
            <w:tcW w:w="992" w:type="dxa"/>
            <w:vAlign w:val="center"/>
          </w:tcPr>
          <w:p>
            <w:pPr>
              <w:jc w:val="left"/>
              <w:rPr>
                <w:rFonts w:ascii="宋体" w:hAnsi="宋体" w:cs="宋体"/>
              </w:rPr>
            </w:pPr>
            <w:r>
              <w:rPr>
                <w:rFonts w:hint="eastAsia" w:ascii="宋体" w:hAnsi="宋体" w:cs="宋体"/>
              </w:rPr>
              <w:t>3 术语和定义</w:t>
            </w:r>
          </w:p>
        </w:tc>
        <w:tc>
          <w:tcPr>
            <w:tcW w:w="5812" w:type="dxa"/>
            <w:vAlign w:val="center"/>
          </w:tcPr>
          <w:p>
            <w:pPr>
              <w:jc w:val="left"/>
              <w:rPr>
                <w:rFonts w:ascii="宋体" w:hAnsi="宋体" w:cs="宋体"/>
              </w:rPr>
            </w:pPr>
            <w:r>
              <w:rPr>
                <w:rFonts w:hint="eastAsia" w:ascii="宋体" w:hAnsi="宋体" w:cs="宋体"/>
              </w:rPr>
              <w:t>1.增加“LED一体化显示终端”、“工作状态”、“工作状态功率”；</w:t>
            </w:r>
          </w:p>
          <w:p>
            <w:pPr>
              <w:jc w:val="left"/>
              <w:rPr>
                <w:rFonts w:ascii="宋体" w:hAnsi="宋体" w:cs="宋体"/>
              </w:rPr>
            </w:pPr>
            <w:r>
              <w:rPr>
                <w:rFonts w:hint="eastAsia" w:ascii="宋体" w:hAnsi="宋体" w:cs="宋体"/>
              </w:rPr>
              <w:t>2.更改“关闭状态”、“睡眠状态”、“能源效率”；</w:t>
            </w:r>
          </w:p>
          <w:p>
            <w:pPr>
              <w:jc w:val="left"/>
              <w:rPr>
                <w:rFonts w:ascii="宋体" w:hAnsi="宋体" w:cs="宋体"/>
              </w:rPr>
            </w:pPr>
            <w:r>
              <w:rPr>
                <w:rFonts w:hint="eastAsia" w:ascii="宋体" w:hAnsi="宋体" w:cs="宋体"/>
              </w:rPr>
              <w:t>3.删除“节能评价值”、“高性能显示器”和“标准显示器”。</w:t>
            </w:r>
          </w:p>
        </w:tc>
        <w:tc>
          <w:tcPr>
            <w:tcW w:w="2928" w:type="dxa"/>
          </w:tcPr>
          <w:p>
            <w:pPr>
              <w:jc w:val="center"/>
              <w:rPr>
                <w:szCs w:val="21"/>
              </w:rPr>
            </w:pPr>
            <w:r>
              <w:rPr>
                <w:rFonts w:hint="eastAsia"/>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702" w:type="dxa"/>
            <w:vAlign w:val="center"/>
          </w:tcPr>
          <w:p>
            <w:pPr>
              <w:jc w:val="left"/>
              <w:rPr>
                <w:rFonts w:ascii="宋体" w:hAnsi="宋体" w:cs="宋体"/>
              </w:rPr>
            </w:pPr>
            <w:r>
              <w:rPr>
                <w:rFonts w:hint="eastAsia" w:ascii="宋体" w:hAnsi="宋体" w:cs="宋体"/>
              </w:rPr>
              <w:t>4.1计算机显示器能效等级</w:t>
            </w:r>
          </w:p>
        </w:tc>
        <w:tc>
          <w:tcPr>
            <w:tcW w:w="2578" w:type="dxa"/>
            <w:vAlign w:val="center"/>
          </w:tcPr>
          <w:p>
            <w:pPr>
              <w:ind w:firstLine="420" w:firstLineChars="200"/>
              <w:jc w:val="left"/>
              <w:rPr>
                <w:rFonts w:ascii="宋体" w:hAnsi="宋体" w:cs="宋体"/>
              </w:rPr>
            </w:pPr>
            <w:r>
              <w:rPr>
                <w:rFonts w:hint="eastAsia" w:ascii="宋体" w:hAnsi="宋体" w:cs="宋体"/>
              </w:rPr>
              <w:t>显示器的能效等级分为3级，各级能源效率应不小于表1的规定。具体要求详见表1。</w:t>
            </w:r>
          </w:p>
        </w:tc>
        <w:tc>
          <w:tcPr>
            <w:tcW w:w="992" w:type="dxa"/>
            <w:vAlign w:val="center"/>
          </w:tcPr>
          <w:p>
            <w:pPr>
              <w:jc w:val="left"/>
              <w:rPr>
                <w:rFonts w:ascii="宋体" w:hAnsi="宋体" w:cs="宋体"/>
              </w:rPr>
            </w:pPr>
            <w:r>
              <w:rPr>
                <w:rFonts w:hint="eastAsia" w:ascii="宋体" w:hAnsi="宋体" w:cs="宋体"/>
              </w:rPr>
              <w:t>5.1能效等级</w:t>
            </w:r>
          </w:p>
        </w:tc>
        <w:tc>
          <w:tcPr>
            <w:tcW w:w="5812" w:type="dxa"/>
            <w:vAlign w:val="center"/>
          </w:tcPr>
          <w:p>
            <w:pPr>
              <w:ind w:firstLine="420" w:firstLineChars="200"/>
              <w:jc w:val="left"/>
              <w:rPr>
                <w:rFonts w:ascii="宋体" w:hAnsi="宋体" w:cs="宋体"/>
              </w:rPr>
            </w:pPr>
            <w:r>
              <w:rPr>
                <w:rFonts w:hint="eastAsia" w:ascii="宋体" w:hAnsi="宋体" w:cs="宋体"/>
              </w:rPr>
              <w:t>更改LCD显示器各级能源效率要求，增加OLED显示器和LED一体化显示终端各能效等级要求，高性能LCD显示器、高性能OLED显示器和高性能LED一体机的判定要求，具体详见标准中表1。</w:t>
            </w:r>
            <w:r>
              <w:rPr>
                <w:rFonts w:ascii="宋体" w:hAnsi="宋体" w:cs="宋体"/>
              </w:rPr>
              <w:t xml:space="preserve"> </w:t>
            </w:r>
          </w:p>
        </w:tc>
        <w:tc>
          <w:tcPr>
            <w:tcW w:w="2928" w:type="dxa"/>
            <w:vAlign w:val="center"/>
          </w:tcPr>
          <w:p>
            <w:pPr>
              <w:ind w:firstLine="1260" w:firstLineChars="600"/>
              <w:jc w:val="left"/>
              <w:rPr>
                <w:szCs w:val="21"/>
              </w:rPr>
            </w:pPr>
            <w:r>
              <w:rPr>
                <w:rFonts w:hint="eastAsia"/>
                <w:szCs w:val="21"/>
              </w:rPr>
              <w:t>是</w:t>
            </w:r>
          </w:p>
          <w:p>
            <w:pPr>
              <w:ind w:firstLine="420" w:firstLineChars="200"/>
              <w:jc w:val="left"/>
              <w:rPr>
                <w:szCs w:val="21"/>
              </w:rPr>
            </w:pPr>
            <w:r>
              <w:rPr>
                <w:rFonts w:hint="eastAsia"/>
                <w:szCs w:val="21"/>
              </w:rPr>
              <w:t>原则上，同一申请单元至少送一台样品进行能源效率测试。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702" w:type="dxa"/>
            <w:vAlign w:val="center"/>
          </w:tcPr>
          <w:p>
            <w:pPr>
              <w:jc w:val="left"/>
              <w:rPr>
                <w:rFonts w:ascii="宋体" w:hAnsi="宋体" w:cs="宋体"/>
              </w:rPr>
            </w:pPr>
            <w:r>
              <w:rPr>
                <w:rFonts w:hint="eastAsia" w:ascii="宋体" w:hAnsi="宋体" w:cs="宋体"/>
              </w:rPr>
              <w:t>4.2显示器能效限定值</w:t>
            </w:r>
          </w:p>
        </w:tc>
        <w:tc>
          <w:tcPr>
            <w:tcW w:w="2578" w:type="dxa"/>
            <w:vAlign w:val="center"/>
          </w:tcPr>
          <w:p>
            <w:pPr>
              <w:ind w:firstLine="420" w:firstLineChars="200"/>
              <w:jc w:val="left"/>
              <w:rPr>
                <w:rFonts w:ascii="宋体" w:hAnsi="宋体" w:cs="宋体"/>
              </w:rPr>
            </w:pPr>
            <w:r>
              <w:rPr>
                <w:rFonts w:hint="eastAsia" w:ascii="宋体" w:hAnsi="宋体" w:cs="宋体"/>
              </w:rPr>
              <w:t>规定了显示器最低能源效率，以及关闭状态功率和睡眠状态功率限定值；</w:t>
            </w:r>
          </w:p>
          <w:p>
            <w:pPr>
              <w:ind w:firstLine="420" w:firstLineChars="200"/>
              <w:jc w:val="left"/>
              <w:rPr>
                <w:rFonts w:ascii="宋体" w:hAnsi="宋体" w:cs="宋体"/>
              </w:rPr>
            </w:pPr>
            <w:r>
              <w:rPr>
                <w:rFonts w:hint="eastAsia" w:ascii="宋体" w:hAnsi="宋体" w:cs="宋体"/>
              </w:rPr>
              <w:t>使用外部电源的显示器，所使用的外部电源应符合GB20943强制性条款要求。</w:t>
            </w:r>
          </w:p>
        </w:tc>
        <w:tc>
          <w:tcPr>
            <w:tcW w:w="992" w:type="dxa"/>
            <w:vAlign w:val="center"/>
          </w:tcPr>
          <w:p>
            <w:pPr>
              <w:jc w:val="left"/>
              <w:rPr>
                <w:rFonts w:ascii="宋体" w:hAnsi="宋体" w:cs="宋体"/>
              </w:rPr>
            </w:pPr>
            <w:r>
              <w:rPr>
                <w:rFonts w:hint="eastAsia" w:ascii="宋体" w:hAnsi="宋体" w:cs="宋体"/>
              </w:rPr>
              <w:t>5.2能效限定值</w:t>
            </w:r>
          </w:p>
        </w:tc>
        <w:tc>
          <w:tcPr>
            <w:tcW w:w="5812" w:type="dxa"/>
            <w:vAlign w:val="center"/>
          </w:tcPr>
          <w:p>
            <w:pPr>
              <w:ind w:firstLine="420" w:firstLineChars="200"/>
              <w:jc w:val="left"/>
              <w:rPr>
                <w:rFonts w:ascii="宋体" w:hAnsi="宋体" w:cs="宋体"/>
              </w:rPr>
            </w:pPr>
            <w:r>
              <w:rPr>
                <w:rFonts w:hint="eastAsia" w:ascii="宋体" w:hAnsi="宋体" w:cs="宋体"/>
              </w:rPr>
              <w:t>增加OLED显示器和LED一体化显示终端的能效限定值要求。</w:t>
            </w:r>
          </w:p>
        </w:tc>
        <w:tc>
          <w:tcPr>
            <w:tcW w:w="2928" w:type="dxa"/>
            <w:vAlign w:val="center"/>
          </w:tcPr>
          <w:p>
            <w:pPr>
              <w:jc w:val="center"/>
              <w:rPr>
                <w:szCs w:val="21"/>
              </w:rPr>
            </w:pPr>
            <w:r>
              <w:rPr>
                <w:rFonts w:hint="eastAsia"/>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jc w:val="center"/>
        </w:trPr>
        <w:tc>
          <w:tcPr>
            <w:tcW w:w="1702" w:type="dxa"/>
            <w:vMerge w:val="restart"/>
            <w:vAlign w:val="center"/>
          </w:tcPr>
          <w:p>
            <w:pPr>
              <w:jc w:val="left"/>
              <w:rPr>
                <w:rFonts w:ascii="宋体" w:hAnsi="宋体" w:cs="宋体"/>
              </w:rPr>
            </w:pPr>
            <w:r>
              <w:rPr>
                <w:rFonts w:hint="eastAsia" w:ascii="宋体" w:hAnsi="宋体" w:cs="宋体"/>
              </w:rPr>
              <w:t>4.4显示器睡眠状态功率和关闭状态功率限定值</w:t>
            </w:r>
          </w:p>
        </w:tc>
        <w:tc>
          <w:tcPr>
            <w:tcW w:w="2578" w:type="dxa"/>
            <w:vMerge w:val="restart"/>
            <w:vAlign w:val="center"/>
          </w:tcPr>
          <w:p>
            <w:pPr>
              <w:widowControl/>
              <w:ind w:firstLine="420" w:firstLineChars="200"/>
              <w:jc w:val="left"/>
              <w:rPr>
                <w:rFonts w:ascii="宋体" w:hAnsi="宋体" w:cs="宋体"/>
              </w:rPr>
            </w:pPr>
            <w:r>
              <w:rPr>
                <w:rFonts w:hint="eastAsia" w:ascii="宋体" w:hAnsi="宋体" w:cs="宋体"/>
              </w:rPr>
              <w:t>标准显示器关闭状态功率和睡眠状态功率修约值应分别小于或等于0.5W；</w:t>
            </w:r>
          </w:p>
          <w:p>
            <w:pPr>
              <w:widowControl/>
              <w:ind w:firstLine="420" w:firstLineChars="200"/>
              <w:jc w:val="left"/>
              <w:rPr>
                <w:rFonts w:ascii="宋体" w:hAnsi="宋体" w:cs="宋体"/>
              </w:rPr>
            </w:pPr>
            <w:r>
              <w:rPr>
                <w:rFonts w:hint="eastAsia" w:ascii="宋体" w:hAnsi="宋体" w:cs="宋体"/>
              </w:rPr>
              <w:t>高性能显示器关闭状态功率和睡眠状态功率修约值应分别小于或等于0.5W和1.2W。</w:t>
            </w:r>
          </w:p>
        </w:tc>
        <w:tc>
          <w:tcPr>
            <w:tcW w:w="992" w:type="dxa"/>
            <w:vAlign w:val="center"/>
          </w:tcPr>
          <w:p>
            <w:pPr>
              <w:widowControl/>
              <w:jc w:val="left"/>
              <w:rPr>
                <w:rFonts w:ascii="宋体" w:hAnsi="宋体" w:cs="宋体"/>
              </w:rPr>
            </w:pPr>
            <w:r>
              <w:rPr>
                <w:rFonts w:hint="eastAsia" w:ascii="宋体" w:hAnsi="宋体" w:cs="宋体"/>
              </w:rPr>
              <w:t>5.3睡眠状态功率限定值</w:t>
            </w:r>
          </w:p>
        </w:tc>
        <w:tc>
          <w:tcPr>
            <w:tcW w:w="5812" w:type="dxa"/>
            <w:vAlign w:val="center"/>
          </w:tcPr>
          <w:p>
            <w:pPr>
              <w:ind w:firstLine="420" w:firstLineChars="200"/>
              <w:jc w:val="left"/>
              <w:rPr>
                <w:rFonts w:ascii="宋体" w:hAnsi="宋体" w:cs="宋体"/>
              </w:rPr>
            </w:pPr>
            <w:r>
              <w:rPr>
                <w:rFonts w:hint="eastAsia" w:ascii="宋体" w:hAnsi="宋体" w:cs="宋体"/>
              </w:rPr>
              <w:t>更改了睡眠状态功率限定值要求：</w:t>
            </w:r>
          </w:p>
          <w:p>
            <w:pPr>
              <w:ind w:firstLine="420" w:firstLineChars="200"/>
              <w:jc w:val="left"/>
              <w:rPr>
                <w:rFonts w:ascii="宋体" w:hAnsi="宋体" w:cs="宋体"/>
              </w:rPr>
            </w:pPr>
            <w:r>
              <w:rPr>
                <w:rFonts w:hint="eastAsia" w:ascii="宋体" w:hAnsi="宋体" w:cs="宋体"/>
              </w:rPr>
              <w:t>LCD显示器和OLED显示器睡眠状态功率应小于或等于0.50W。</w:t>
            </w:r>
          </w:p>
          <w:p>
            <w:pPr>
              <w:jc w:val="left"/>
              <w:rPr>
                <w:rFonts w:ascii="宋体" w:hAnsi="宋体" w:cs="宋体"/>
              </w:rPr>
            </w:pPr>
            <w:r>
              <w:rPr>
                <w:rFonts w:hint="eastAsia" w:ascii="宋体" w:hAnsi="宋体" w:cs="宋体"/>
              </w:rPr>
              <w:t>高性能LCD显示器和高性能OLED显示器睡眠状态功率应小于或等于0.80W。</w:t>
            </w:r>
          </w:p>
        </w:tc>
        <w:tc>
          <w:tcPr>
            <w:tcW w:w="2928" w:type="dxa"/>
            <w:vAlign w:val="center"/>
          </w:tcPr>
          <w:p>
            <w:pPr>
              <w:ind w:firstLine="1260" w:firstLineChars="600"/>
              <w:jc w:val="left"/>
              <w:rPr>
                <w:rFonts w:ascii="宋体" w:hAnsi="宋体" w:cs="宋体"/>
              </w:rPr>
            </w:pPr>
            <w:r>
              <w:rPr>
                <w:rFonts w:hint="eastAsia" w:ascii="宋体" w:hAnsi="宋体" w:cs="宋体"/>
              </w:rPr>
              <w:t>是</w:t>
            </w:r>
          </w:p>
          <w:p>
            <w:pPr>
              <w:ind w:firstLine="420" w:firstLineChars="200"/>
              <w:jc w:val="left"/>
              <w:rPr>
                <w:rFonts w:ascii="宋体" w:hAnsi="宋体" w:cs="宋体"/>
              </w:rPr>
            </w:pPr>
            <w:r>
              <w:rPr>
                <w:rFonts w:hint="eastAsia" w:ascii="宋体" w:hAnsi="宋体" w:cs="宋体"/>
              </w:rPr>
              <w:t>依据新版标准5.3核查原报告的睡眠状态功率测试结果，必要时补充试验。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702" w:type="dxa"/>
            <w:vMerge w:val="continue"/>
            <w:vAlign w:val="center"/>
          </w:tcPr>
          <w:p>
            <w:pPr>
              <w:jc w:val="left"/>
              <w:rPr>
                <w:rFonts w:ascii="宋体" w:hAnsi="宋体" w:cs="宋体"/>
              </w:rPr>
            </w:pPr>
          </w:p>
        </w:tc>
        <w:tc>
          <w:tcPr>
            <w:tcW w:w="2578" w:type="dxa"/>
            <w:vMerge w:val="continue"/>
            <w:vAlign w:val="center"/>
          </w:tcPr>
          <w:p>
            <w:pPr>
              <w:widowControl/>
              <w:jc w:val="left"/>
              <w:rPr>
                <w:rFonts w:ascii="宋体" w:hAnsi="宋体" w:cs="宋体"/>
              </w:rPr>
            </w:pPr>
          </w:p>
        </w:tc>
        <w:tc>
          <w:tcPr>
            <w:tcW w:w="992" w:type="dxa"/>
            <w:vAlign w:val="center"/>
          </w:tcPr>
          <w:p>
            <w:pPr>
              <w:widowControl/>
              <w:jc w:val="left"/>
              <w:rPr>
                <w:rFonts w:ascii="宋体" w:hAnsi="宋体" w:cs="宋体"/>
              </w:rPr>
            </w:pPr>
            <w:r>
              <w:rPr>
                <w:rFonts w:hint="eastAsia" w:ascii="宋体" w:hAnsi="宋体" w:cs="宋体"/>
              </w:rPr>
              <w:t>5.4关闭状态功率限定值</w:t>
            </w:r>
          </w:p>
        </w:tc>
        <w:tc>
          <w:tcPr>
            <w:tcW w:w="5812" w:type="dxa"/>
            <w:vAlign w:val="center"/>
          </w:tcPr>
          <w:p>
            <w:pPr>
              <w:ind w:firstLine="420" w:firstLineChars="200"/>
              <w:jc w:val="left"/>
              <w:rPr>
                <w:rFonts w:ascii="宋体" w:hAnsi="宋体" w:cs="宋体"/>
              </w:rPr>
            </w:pPr>
            <w:r>
              <w:rPr>
                <w:rFonts w:hint="eastAsia" w:ascii="宋体" w:hAnsi="宋体" w:cs="宋体"/>
              </w:rPr>
              <w:t>更改了关闭状态功率限定值要求：关闭状态功率应小于或等于0.40W。</w:t>
            </w:r>
          </w:p>
          <w:p>
            <w:pPr>
              <w:ind w:firstLine="420" w:firstLineChars="200"/>
              <w:jc w:val="left"/>
              <w:rPr>
                <w:rFonts w:ascii="宋体" w:hAnsi="宋体" w:cs="宋体"/>
              </w:rPr>
            </w:pPr>
            <w:r>
              <w:rPr>
                <w:rFonts w:hint="eastAsia" w:ascii="宋体" w:hAnsi="宋体" w:cs="宋体"/>
              </w:rPr>
              <w:t>高性能LCD显示器和高性能OLED显示器，关闭状态功率应小于或等于0.60W。</w:t>
            </w:r>
          </w:p>
        </w:tc>
        <w:tc>
          <w:tcPr>
            <w:tcW w:w="2928" w:type="dxa"/>
            <w:vAlign w:val="center"/>
          </w:tcPr>
          <w:p>
            <w:pPr>
              <w:ind w:firstLine="1260" w:firstLineChars="600"/>
              <w:jc w:val="left"/>
              <w:rPr>
                <w:rFonts w:ascii="宋体" w:hAnsi="宋体" w:cs="宋体"/>
              </w:rPr>
            </w:pPr>
            <w:r>
              <w:rPr>
                <w:rFonts w:hint="eastAsia" w:ascii="宋体" w:hAnsi="宋体" w:cs="宋体"/>
              </w:rPr>
              <w:t>是</w:t>
            </w:r>
          </w:p>
          <w:p>
            <w:pPr>
              <w:ind w:firstLine="420" w:firstLineChars="200"/>
              <w:jc w:val="left"/>
              <w:rPr>
                <w:rFonts w:ascii="宋体" w:hAnsi="宋体" w:cs="宋体"/>
              </w:rPr>
            </w:pPr>
            <w:r>
              <w:rPr>
                <w:rFonts w:hint="eastAsia" w:ascii="宋体" w:hAnsi="宋体" w:cs="宋体"/>
              </w:rPr>
              <w:t>依据新版标准5.4核查原报告的关闭状态功率测试结果，必要时补充试验。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702" w:type="dxa"/>
            <w:vAlign w:val="center"/>
          </w:tcPr>
          <w:p>
            <w:pPr>
              <w:jc w:val="center"/>
              <w:rPr>
                <w:rFonts w:ascii="宋体" w:hAnsi="宋体" w:cs="宋体"/>
              </w:rPr>
            </w:pPr>
            <w:r>
              <w:rPr>
                <w:rFonts w:hint="eastAsia" w:ascii="宋体" w:hAnsi="宋体" w:cs="宋体"/>
              </w:rPr>
              <w:t>附录A</w:t>
            </w:r>
          </w:p>
        </w:tc>
        <w:tc>
          <w:tcPr>
            <w:tcW w:w="2578" w:type="dxa"/>
            <w:vAlign w:val="center"/>
          </w:tcPr>
          <w:p>
            <w:pPr>
              <w:widowControl/>
              <w:jc w:val="left"/>
              <w:rPr>
                <w:szCs w:val="21"/>
              </w:rPr>
            </w:pPr>
            <w:r>
              <w:rPr>
                <w:rFonts w:hint="eastAsia"/>
                <w:szCs w:val="21"/>
              </w:rPr>
              <w:t>高性能显示器能源效率、睡眠状态功率和关闭状态功率测试方法</w:t>
            </w:r>
          </w:p>
        </w:tc>
        <w:tc>
          <w:tcPr>
            <w:tcW w:w="992" w:type="dxa"/>
            <w:vAlign w:val="center"/>
          </w:tcPr>
          <w:p>
            <w:pPr>
              <w:widowControl/>
              <w:jc w:val="left"/>
              <w:rPr>
                <w:rFonts w:ascii="宋体" w:hAnsi="宋体" w:cs="宋体"/>
              </w:rPr>
            </w:pPr>
            <w:r>
              <w:rPr>
                <w:rFonts w:hint="eastAsia" w:ascii="宋体" w:hAnsi="宋体" w:cs="宋体"/>
              </w:rPr>
              <w:t>附录A</w:t>
            </w:r>
          </w:p>
        </w:tc>
        <w:tc>
          <w:tcPr>
            <w:tcW w:w="5812" w:type="dxa"/>
            <w:vAlign w:val="center"/>
          </w:tcPr>
          <w:p>
            <w:pPr>
              <w:pStyle w:val="11"/>
              <w:numPr>
                <w:ilvl w:val="0"/>
                <w:numId w:val="1"/>
              </w:numPr>
              <w:ind w:firstLineChars="0"/>
              <w:rPr>
                <w:szCs w:val="21"/>
              </w:rPr>
            </w:pPr>
            <w:r>
              <w:rPr>
                <w:rFonts w:hint="eastAsia"/>
                <w:szCs w:val="21"/>
              </w:rPr>
              <w:t>修改显示器能源效率测试方法：</w:t>
            </w:r>
          </w:p>
          <w:p>
            <w:pPr>
              <w:numPr>
                <w:ilvl w:val="0"/>
                <w:numId w:val="2"/>
              </w:numPr>
              <w:rPr>
                <w:szCs w:val="21"/>
              </w:rPr>
            </w:pPr>
            <w:r>
              <w:rPr>
                <w:rFonts w:hint="eastAsia"/>
                <w:szCs w:val="21"/>
              </w:rPr>
              <w:t xml:space="preserve">电源：提高了试验条件中交流供电条件下的电源电压、总谐波失真精度的要求；增加了直流供电情况下电源电压的要求； </w:t>
            </w:r>
          </w:p>
          <w:p>
            <w:pPr>
              <w:numPr>
                <w:ilvl w:val="0"/>
                <w:numId w:val="2"/>
              </w:numPr>
              <w:rPr>
                <w:szCs w:val="21"/>
              </w:rPr>
            </w:pPr>
            <w:r>
              <w:rPr>
                <w:rFonts w:hint="eastAsia"/>
                <w:szCs w:val="21"/>
              </w:rPr>
              <w:t>测量仪器：提高了亮度计和功率计的精度和测量范围；增加了测试信号发生设备的要求；</w:t>
            </w:r>
          </w:p>
          <w:p>
            <w:pPr>
              <w:numPr>
                <w:ilvl w:val="0"/>
                <w:numId w:val="2"/>
              </w:numPr>
              <w:rPr>
                <w:szCs w:val="21"/>
              </w:rPr>
            </w:pPr>
            <w:r>
              <w:rPr>
                <w:rFonts w:hint="eastAsia"/>
                <w:szCs w:val="21"/>
              </w:rPr>
              <w:t>测试方法：</w:t>
            </w:r>
          </w:p>
          <w:p>
            <w:pPr>
              <w:ind w:left="420"/>
              <w:rPr>
                <w:szCs w:val="21"/>
              </w:rPr>
            </w:pPr>
            <w:r>
              <w:rPr>
                <w:rFonts w:hint="eastAsia"/>
                <w:szCs w:val="21"/>
              </w:rPr>
              <w:t>增加了测试接口的测试顺序要求；</w:t>
            </w:r>
          </w:p>
          <w:p>
            <w:pPr>
              <w:ind w:left="420"/>
              <w:rPr>
                <w:szCs w:val="21"/>
              </w:rPr>
            </w:pPr>
            <w:r>
              <w:rPr>
                <w:rFonts w:hint="eastAsia"/>
                <w:szCs w:val="21"/>
              </w:rPr>
              <w:t>增加了测试信号的要求；</w:t>
            </w:r>
          </w:p>
          <w:p>
            <w:pPr>
              <w:ind w:left="420"/>
              <w:rPr>
                <w:szCs w:val="21"/>
              </w:rPr>
            </w:pPr>
            <w:r>
              <w:rPr>
                <w:rFonts w:hint="eastAsia"/>
                <w:szCs w:val="21"/>
              </w:rPr>
              <w:t>增加了直流供电测试系统；</w:t>
            </w:r>
          </w:p>
          <w:p>
            <w:pPr>
              <w:ind w:left="420"/>
              <w:rPr>
                <w:szCs w:val="21"/>
              </w:rPr>
            </w:pPr>
            <w:r>
              <w:rPr>
                <w:rFonts w:hint="eastAsia"/>
                <w:szCs w:val="21"/>
              </w:rPr>
              <w:t>明确了带电池、内置扬声器或内置计算机等显示器的具体设置要求；</w:t>
            </w:r>
          </w:p>
          <w:p>
            <w:pPr>
              <w:ind w:left="420"/>
              <w:rPr>
                <w:szCs w:val="21"/>
              </w:rPr>
            </w:pPr>
            <w:r>
              <w:rPr>
                <w:rFonts w:hint="eastAsia"/>
                <w:szCs w:val="21"/>
              </w:rPr>
              <w:t>更改了预热信号；</w:t>
            </w:r>
          </w:p>
          <w:p>
            <w:pPr>
              <w:ind w:left="420"/>
              <w:rPr>
                <w:szCs w:val="21"/>
              </w:rPr>
            </w:pPr>
            <w:r>
              <w:rPr>
                <w:rFonts w:hint="eastAsia"/>
                <w:szCs w:val="21"/>
              </w:rPr>
              <w:t>更改了亮度计与显示器的测量距离；</w:t>
            </w:r>
          </w:p>
          <w:p>
            <w:pPr>
              <w:pStyle w:val="11"/>
              <w:numPr>
                <w:ilvl w:val="0"/>
                <w:numId w:val="2"/>
              </w:numPr>
              <w:ind w:firstLineChars="0"/>
              <w:rPr>
                <w:szCs w:val="21"/>
              </w:rPr>
            </w:pPr>
            <w:r>
              <w:rPr>
                <w:rFonts w:hint="eastAsia"/>
                <w:szCs w:val="21"/>
              </w:rPr>
              <w:t>增加了</w:t>
            </w:r>
            <w:r>
              <w:rPr>
                <w:rFonts w:hint="eastAsia" w:ascii="宋体" w:hAnsi="宋体" w:cs="宋体"/>
              </w:rPr>
              <w:t>OLED显示器和LED一体化显示终端的相关测试要求。</w:t>
            </w:r>
          </w:p>
          <w:p>
            <w:pPr>
              <w:pStyle w:val="11"/>
              <w:numPr>
                <w:ilvl w:val="0"/>
                <w:numId w:val="1"/>
              </w:numPr>
              <w:ind w:firstLineChars="0"/>
              <w:rPr>
                <w:szCs w:val="21"/>
              </w:rPr>
            </w:pPr>
            <w:r>
              <w:rPr>
                <w:rFonts w:hint="eastAsia"/>
                <w:szCs w:val="21"/>
              </w:rPr>
              <w:t>修改睡眠状态功率测试方法：</w:t>
            </w:r>
          </w:p>
          <w:p>
            <w:pPr>
              <w:ind w:firstLine="420" w:firstLineChars="200"/>
              <w:rPr>
                <w:szCs w:val="21"/>
              </w:rPr>
            </w:pPr>
            <w:r>
              <w:rPr>
                <w:rFonts w:hint="eastAsia"/>
                <w:szCs w:val="21"/>
              </w:rPr>
              <w:t>增加了“如有多种睡眠状态模式，测试结果取其中功率最低的一种”。</w:t>
            </w:r>
          </w:p>
          <w:p>
            <w:pPr>
              <w:pStyle w:val="11"/>
              <w:numPr>
                <w:ilvl w:val="0"/>
                <w:numId w:val="1"/>
              </w:numPr>
              <w:ind w:firstLineChars="0"/>
              <w:rPr>
                <w:szCs w:val="21"/>
              </w:rPr>
            </w:pPr>
            <w:r>
              <w:rPr>
                <w:rFonts w:hint="eastAsia"/>
                <w:szCs w:val="21"/>
              </w:rPr>
              <w:t>修改关闭状态功率测试方法：</w:t>
            </w:r>
          </w:p>
          <w:p>
            <w:pPr>
              <w:ind w:firstLine="315" w:firstLineChars="150"/>
              <w:rPr>
                <w:szCs w:val="21"/>
              </w:rPr>
            </w:pPr>
            <w:r>
              <w:rPr>
                <w:rFonts w:hint="eastAsia" w:ascii="宋体" w:hAnsi="宋体" w:cs="宋体"/>
              </w:rPr>
              <w:t>增加了“如有多种关闭状态模式，测试结果取其中功率最低的一种”。</w:t>
            </w:r>
          </w:p>
        </w:tc>
        <w:tc>
          <w:tcPr>
            <w:tcW w:w="2928" w:type="dxa"/>
            <w:vAlign w:val="center"/>
          </w:tcPr>
          <w:p>
            <w:pPr>
              <w:ind w:firstLine="1050" w:firstLineChars="500"/>
              <w:jc w:val="left"/>
              <w:rPr>
                <w:szCs w:val="21"/>
              </w:rPr>
            </w:pPr>
            <w:r>
              <w:rPr>
                <w:rFonts w:hint="eastAsia"/>
                <w:szCs w:val="21"/>
              </w:rPr>
              <w:t>是</w:t>
            </w:r>
          </w:p>
          <w:p>
            <w:pPr>
              <w:ind w:firstLine="420" w:firstLineChars="200"/>
              <w:jc w:val="left"/>
              <w:rPr>
                <w:szCs w:val="21"/>
              </w:rPr>
            </w:pPr>
            <w:r>
              <w:rPr>
                <w:rFonts w:hint="eastAsia"/>
                <w:szCs w:val="21"/>
              </w:rPr>
              <w:t>原则上同一申请单元至少送一台样品进行能源效率测试。</w:t>
            </w:r>
            <w:r>
              <w:rPr>
                <w:rFonts w:hint="eastAsia" w:ascii="宋体" w:hAnsi="宋体" w:cs="宋体"/>
              </w:rPr>
              <w:t>必要时，补充</w:t>
            </w:r>
            <w:r>
              <w:rPr>
                <w:rFonts w:hint="eastAsia"/>
                <w:szCs w:val="21"/>
              </w:rPr>
              <w:t>睡眠状态功率和关闭状态功率测试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1702" w:type="dxa"/>
            <w:vAlign w:val="center"/>
          </w:tcPr>
          <w:p>
            <w:pPr>
              <w:jc w:val="center"/>
              <w:rPr>
                <w:rFonts w:ascii="宋体" w:hAnsi="宋体" w:cs="宋体"/>
              </w:rPr>
            </w:pPr>
            <w:r>
              <w:rPr>
                <w:rFonts w:hint="eastAsia" w:ascii="宋体" w:hAnsi="宋体" w:cs="宋体"/>
              </w:rPr>
              <w:t>附录B</w:t>
            </w:r>
          </w:p>
        </w:tc>
        <w:tc>
          <w:tcPr>
            <w:tcW w:w="2578" w:type="dxa"/>
            <w:vAlign w:val="center"/>
          </w:tcPr>
          <w:p>
            <w:pPr>
              <w:ind w:firstLine="420" w:firstLineChars="200"/>
              <w:jc w:val="left"/>
              <w:rPr>
                <w:rFonts w:ascii="宋体" w:hAnsi="宋体" w:cs="宋体"/>
              </w:rPr>
            </w:pPr>
            <w:r>
              <w:rPr>
                <w:rFonts w:hint="eastAsia" w:ascii="宋体" w:hAnsi="宋体" w:cs="宋体"/>
              </w:rPr>
              <w:t>显示器水平视角、固有分辨力和色域的测试方法</w:t>
            </w:r>
          </w:p>
        </w:tc>
        <w:tc>
          <w:tcPr>
            <w:tcW w:w="992" w:type="dxa"/>
            <w:vAlign w:val="center"/>
          </w:tcPr>
          <w:p>
            <w:pPr>
              <w:jc w:val="left"/>
              <w:rPr>
                <w:rFonts w:ascii="宋体" w:hAnsi="宋体" w:cs="宋体"/>
              </w:rPr>
            </w:pPr>
            <w:r>
              <w:rPr>
                <w:rFonts w:hint="eastAsia" w:ascii="宋体" w:hAnsi="宋体" w:cs="宋体"/>
              </w:rPr>
              <w:t>附录B/附录C</w:t>
            </w:r>
          </w:p>
        </w:tc>
        <w:tc>
          <w:tcPr>
            <w:tcW w:w="5812" w:type="dxa"/>
            <w:vAlign w:val="center"/>
          </w:tcPr>
          <w:p>
            <w:pPr>
              <w:ind w:firstLine="420" w:firstLineChars="200"/>
              <w:rPr>
                <w:rFonts w:ascii="宋体" w:hAnsi="宋体" w:cs="宋体"/>
              </w:rPr>
            </w:pPr>
            <w:r>
              <w:rPr>
                <w:rFonts w:hint="eastAsia" w:ascii="宋体" w:hAnsi="宋体" w:cs="宋体"/>
              </w:rPr>
              <w:t>更改高性能显示器的判定条件，修改附录B高性能LCD显示器显示性能测试方法,增加高性能OLED显示器显示性能测试方法；增加附录C高性能LED一体机显示性能测试方法。</w:t>
            </w:r>
          </w:p>
        </w:tc>
        <w:tc>
          <w:tcPr>
            <w:tcW w:w="2928" w:type="dxa"/>
            <w:vAlign w:val="center"/>
          </w:tcPr>
          <w:p>
            <w:pPr>
              <w:ind w:firstLine="1050" w:firstLineChars="500"/>
              <w:rPr>
                <w:bCs/>
                <w:szCs w:val="21"/>
              </w:rPr>
            </w:pPr>
            <w:r>
              <w:rPr>
                <w:rFonts w:hint="eastAsia"/>
                <w:bCs/>
                <w:szCs w:val="21"/>
              </w:rPr>
              <w:t>是</w:t>
            </w:r>
          </w:p>
          <w:p>
            <w:pPr>
              <w:ind w:firstLine="420" w:firstLineChars="200"/>
              <w:rPr>
                <w:szCs w:val="21"/>
              </w:rPr>
            </w:pPr>
            <w:r>
              <w:rPr>
                <w:rFonts w:hint="eastAsia"/>
                <w:bCs/>
                <w:szCs w:val="21"/>
              </w:rPr>
              <w:t>原则上同一申请单元至少选送一台样品进行附录B水平视角、固有分辨力、</w:t>
            </w:r>
            <w:r>
              <w:rPr>
                <w:bCs/>
                <w:szCs w:val="21"/>
              </w:rPr>
              <w:t xml:space="preserve"> NTSC</w:t>
            </w:r>
            <w:r>
              <w:rPr>
                <w:rFonts w:hint="eastAsia"/>
                <w:bCs/>
                <w:szCs w:val="21"/>
              </w:rPr>
              <w:t>色域覆盖率、刷新率和</w:t>
            </w:r>
            <w:r>
              <w:rPr>
                <w:bCs/>
                <w:szCs w:val="21"/>
              </w:rPr>
              <w:t xml:space="preserve"> HDR</w:t>
            </w:r>
            <w:r>
              <w:rPr>
                <w:rFonts w:hint="eastAsia"/>
                <w:bCs/>
                <w:szCs w:val="21"/>
              </w:rPr>
              <w:t>峰值亮度测试，重新判定是否为高性能显示器。</w:t>
            </w:r>
          </w:p>
        </w:tc>
      </w:tr>
    </w:tbl>
    <w:p>
      <w:pPr>
        <w:jc w:val="center"/>
        <w:rPr>
          <w:rFonts w:asciiTheme="majorEastAsia" w:hAnsiTheme="majorEastAsia" w:eastAsiaTheme="majorEastAsia"/>
          <w:color w:val="000000"/>
          <w:sz w:val="24"/>
          <w:szCs w:val="21"/>
        </w:rPr>
      </w:pPr>
    </w:p>
    <w:sectPr>
      <w:footerReference r:id="rId3" w:type="default"/>
      <w:pgSz w:w="16838" w:h="11906" w:orient="landscape"/>
      <w:pgMar w:top="709" w:right="1440" w:bottom="1134" w:left="1440" w:header="851" w:footer="4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caps/>
        <w:color w:val="4F81BD" w:themeColor="accent1"/>
        <w14:textFill>
          <w14:solidFill>
            <w14:schemeClr w14:val="accent1"/>
          </w14:solidFill>
        </w14:textFill>
      </w:rPr>
    </w:pPr>
    <w:r>
      <w:rPr>
        <w:caps/>
        <w:color w:val="4F81BD" w:themeColor="accent1"/>
        <w14:textFill>
          <w14:solidFill>
            <w14:schemeClr w14:val="accent1"/>
          </w14:solidFill>
        </w14:textFill>
      </w:rPr>
      <w:fldChar w:fldCharType="begin"/>
    </w:r>
    <w:r>
      <w:rPr>
        <w:caps/>
        <w:color w:val="4F81BD" w:themeColor="accent1"/>
        <w14:textFill>
          <w14:solidFill>
            <w14:schemeClr w14:val="accent1"/>
          </w14:solidFill>
        </w14:textFill>
      </w:rPr>
      <w:instrText xml:space="preserve">PAGE   \* MERGEFORMAT</w:instrText>
    </w:r>
    <w:r>
      <w:rPr>
        <w:caps/>
        <w:color w:val="4F81BD" w:themeColor="accent1"/>
        <w14:textFill>
          <w14:solidFill>
            <w14:schemeClr w14:val="accent1"/>
          </w14:solidFill>
        </w14:textFill>
      </w:rPr>
      <w:fldChar w:fldCharType="separate"/>
    </w:r>
    <w:r>
      <w:rPr>
        <w:caps/>
        <w:color w:val="4F81BD" w:themeColor="accent1"/>
        <w:lang w:val="zh-CN"/>
        <w14:textFill>
          <w14:solidFill>
            <w14:schemeClr w14:val="accent1"/>
          </w14:solidFill>
        </w14:textFill>
      </w:rPr>
      <w:t>1</w:t>
    </w:r>
    <w:r>
      <w:rPr>
        <w:caps/>
        <w:color w:val="4F81BD" w:themeColor="accent1"/>
        <w14:textFill>
          <w14:solidFill>
            <w14:schemeClr w14:val="accent1"/>
          </w14:solidFill>
        </w14:textFill>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4B5469"/>
    <w:multiLevelType w:val="multilevel"/>
    <w:tmpl w:val="134B546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D89266E"/>
    <w:multiLevelType w:val="multilevel"/>
    <w:tmpl w:val="2D89266E"/>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kN2NkZmUyMmI1Nzc3ZmE5ZTIyYjBjMDhiODc5ODUifQ=="/>
  </w:docVars>
  <w:rsids>
    <w:rsidRoot w:val="00172A27"/>
    <w:rsid w:val="00011A59"/>
    <w:rsid w:val="000601BC"/>
    <w:rsid w:val="00095894"/>
    <w:rsid w:val="000C0E74"/>
    <w:rsid w:val="00114872"/>
    <w:rsid w:val="00172A27"/>
    <w:rsid w:val="00197966"/>
    <w:rsid w:val="001F3C5F"/>
    <w:rsid w:val="00204540"/>
    <w:rsid w:val="0022491B"/>
    <w:rsid w:val="002644E5"/>
    <w:rsid w:val="00272603"/>
    <w:rsid w:val="002A3AC8"/>
    <w:rsid w:val="002D5AC4"/>
    <w:rsid w:val="002D614F"/>
    <w:rsid w:val="002F245F"/>
    <w:rsid w:val="003464DA"/>
    <w:rsid w:val="003600F3"/>
    <w:rsid w:val="003C223B"/>
    <w:rsid w:val="003E72C2"/>
    <w:rsid w:val="00443CB0"/>
    <w:rsid w:val="00466FB8"/>
    <w:rsid w:val="004A1AC0"/>
    <w:rsid w:val="004A3132"/>
    <w:rsid w:val="00520BBE"/>
    <w:rsid w:val="00537EA9"/>
    <w:rsid w:val="005707D4"/>
    <w:rsid w:val="005A3FCC"/>
    <w:rsid w:val="006501FB"/>
    <w:rsid w:val="006906E8"/>
    <w:rsid w:val="006A460A"/>
    <w:rsid w:val="006C0A8F"/>
    <w:rsid w:val="006E1F1E"/>
    <w:rsid w:val="006E76D8"/>
    <w:rsid w:val="006F5932"/>
    <w:rsid w:val="0071610C"/>
    <w:rsid w:val="007A66A1"/>
    <w:rsid w:val="007D22B8"/>
    <w:rsid w:val="007D7281"/>
    <w:rsid w:val="007F0BE2"/>
    <w:rsid w:val="0080650D"/>
    <w:rsid w:val="00842CFA"/>
    <w:rsid w:val="00843EE4"/>
    <w:rsid w:val="00857073"/>
    <w:rsid w:val="008778EB"/>
    <w:rsid w:val="00882809"/>
    <w:rsid w:val="008C6C96"/>
    <w:rsid w:val="00930508"/>
    <w:rsid w:val="00965483"/>
    <w:rsid w:val="00991943"/>
    <w:rsid w:val="009E2AE6"/>
    <w:rsid w:val="009F4B3D"/>
    <w:rsid w:val="00A22AC6"/>
    <w:rsid w:val="00A706FD"/>
    <w:rsid w:val="00A777DC"/>
    <w:rsid w:val="00AA08E1"/>
    <w:rsid w:val="00AC1AA1"/>
    <w:rsid w:val="00B00145"/>
    <w:rsid w:val="00B14228"/>
    <w:rsid w:val="00C44066"/>
    <w:rsid w:val="00CD50CA"/>
    <w:rsid w:val="00D7640E"/>
    <w:rsid w:val="00DD3977"/>
    <w:rsid w:val="00E0506E"/>
    <w:rsid w:val="00E16497"/>
    <w:rsid w:val="00E17B47"/>
    <w:rsid w:val="00E56735"/>
    <w:rsid w:val="00E9700D"/>
    <w:rsid w:val="00ED04F7"/>
    <w:rsid w:val="00F07AF6"/>
    <w:rsid w:val="00F45E5A"/>
    <w:rsid w:val="00F62729"/>
    <w:rsid w:val="00FE51A6"/>
    <w:rsid w:val="00FF4A2F"/>
    <w:rsid w:val="071C50DA"/>
    <w:rsid w:val="08B17BE1"/>
    <w:rsid w:val="0AB12E2F"/>
    <w:rsid w:val="0E2F3A82"/>
    <w:rsid w:val="13306EC2"/>
    <w:rsid w:val="14333BA0"/>
    <w:rsid w:val="15352F53"/>
    <w:rsid w:val="19847692"/>
    <w:rsid w:val="24795892"/>
    <w:rsid w:val="2E875C48"/>
    <w:rsid w:val="31630C86"/>
    <w:rsid w:val="39CA6413"/>
    <w:rsid w:val="3B3616FD"/>
    <w:rsid w:val="3F1772EF"/>
    <w:rsid w:val="41E719A3"/>
    <w:rsid w:val="4504286C"/>
    <w:rsid w:val="47A3636C"/>
    <w:rsid w:val="49216413"/>
    <w:rsid w:val="4B49722A"/>
    <w:rsid w:val="4C6F4A6E"/>
    <w:rsid w:val="4D2770F7"/>
    <w:rsid w:val="4EF83441"/>
    <w:rsid w:val="4F4A2906"/>
    <w:rsid w:val="53862715"/>
    <w:rsid w:val="59AF6DF2"/>
    <w:rsid w:val="5AAD0A5D"/>
    <w:rsid w:val="623954AB"/>
    <w:rsid w:val="681744E0"/>
    <w:rsid w:val="6922643B"/>
    <w:rsid w:val="6B061AB8"/>
    <w:rsid w:val="72DB392F"/>
    <w:rsid w:val="74123DAE"/>
    <w:rsid w:val="75175B20"/>
    <w:rsid w:val="796A0990"/>
    <w:rsid w:val="7A630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0"/>
    <w:pPr>
      <w:jc w:val="left"/>
    </w:pPr>
    <w:rPr>
      <w:rFonts w:ascii="Calibri" w:hAnsi="Calibri"/>
    </w:rPr>
  </w:style>
  <w:style w:type="paragraph" w:styleId="3">
    <w:name w:val="Balloon Text"/>
    <w:basedOn w:val="1"/>
    <w:link w:val="13"/>
    <w:autoRedefine/>
    <w:semiHidden/>
    <w:unhideWhenUsed/>
    <w:qFormat/>
    <w:uiPriority w:val="99"/>
    <w:rPr>
      <w:sz w:val="18"/>
      <w:szCs w:val="18"/>
    </w:rPr>
  </w:style>
  <w:style w:type="paragraph" w:styleId="4">
    <w:name w:val="footer"/>
    <w:basedOn w:val="1"/>
    <w:link w:val="10"/>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HTML Preformatted"/>
    <w:basedOn w:val="1"/>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9">
    <w:name w:val="页眉 Char"/>
    <w:basedOn w:val="8"/>
    <w:link w:val="5"/>
    <w:autoRedefine/>
    <w:qFormat/>
    <w:uiPriority w:val="99"/>
    <w:rPr>
      <w:sz w:val="18"/>
      <w:szCs w:val="18"/>
    </w:rPr>
  </w:style>
  <w:style w:type="character" w:customStyle="1" w:styleId="10">
    <w:name w:val="页脚 Char"/>
    <w:basedOn w:val="8"/>
    <w:link w:val="4"/>
    <w:qFormat/>
    <w:uiPriority w:val="99"/>
    <w:rPr>
      <w:sz w:val="18"/>
      <w:szCs w:val="18"/>
    </w:rPr>
  </w:style>
  <w:style w:type="paragraph" w:styleId="11">
    <w:name w:val="List Paragraph"/>
    <w:basedOn w:val="1"/>
    <w:qFormat/>
    <w:uiPriority w:val="34"/>
    <w:pPr>
      <w:ind w:firstLine="420" w:firstLineChars="200"/>
    </w:pPr>
  </w:style>
  <w:style w:type="paragraph" w:customStyle="1" w:styleId="12">
    <w:name w:val="Default"/>
    <w:autoRedefine/>
    <w:unhideWhenUsed/>
    <w:qFormat/>
    <w:uiPriority w:val="0"/>
    <w:pPr>
      <w:widowControl w:val="0"/>
      <w:autoSpaceDE w:val="0"/>
      <w:autoSpaceDN w:val="0"/>
      <w:adjustRightInd w:val="0"/>
    </w:pPr>
    <w:rPr>
      <w:rFonts w:ascii="宋体" w:hAnsi="宋体" w:eastAsia="宋体" w:cs="Times New Roman"/>
      <w:color w:val="000000"/>
      <w:sz w:val="24"/>
      <w:szCs w:val="24"/>
      <w:lang w:val="en-US" w:eastAsia="zh-CN" w:bidi="ar-SA"/>
    </w:rPr>
  </w:style>
  <w:style w:type="character" w:customStyle="1" w:styleId="13">
    <w:name w:val="批注框文本 Char"/>
    <w:basedOn w:val="8"/>
    <w:link w:val="3"/>
    <w:autoRedefine/>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4D31D-0A24-48D1-AE6D-3B205A345E67}">
  <ds:schemaRefs/>
</ds:datastoreItem>
</file>

<file path=docProps/app.xml><?xml version="1.0" encoding="utf-8"?>
<Properties xmlns="http://schemas.openxmlformats.org/officeDocument/2006/extended-properties" xmlns:vt="http://schemas.openxmlformats.org/officeDocument/2006/docPropsVTypes">
  <Template>Normal</Template>
  <Company>CQC</Company>
  <Pages>3</Pages>
  <Words>270</Words>
  <Characters>1541</Characters>
  <Lines>12</Lines>
  <Paragraphs>3</Paragraphs>
  <TotalTime>37</TotalTime>
  <ScaleCrop>false</ScaleCrop>
  <LinksUpToDate>false</LinksUpToDate>
  <CharactersWithSpaces>1808</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2023-09-25T02:46:00Z</dcterms:created>
  <dc:creator>李丹</dc:creator>
  <cp:lastModifiedBy>崔紅豆</cp:lastModifiedBy>
  <dcterms:modified xsi:type="dcterms:W3CDTF">2024-04-26T04:46:45Z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75050D55F6BE4DB5BD219A6A0D450D97_13</vt:lpwstr>
  </property>
</Properties>
</file>