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4"/>
          <w:szCs w:val="44"/>
        </w:rPr>
      </w:pPr>
      <w:bookmarkStart w:id="1" w:name="_GoBack"/>
      <w:bookmarkEnd w:id="1"/>
      <w:r>
        <w:rPr>
          <w:rFonts w:hint="eastAsia" w:ascii="黑体" w:hAnsi="黑体" w:eastAsia="黑体"/>
          <w:sz w:val="44"/>
          <w:szCs w:val="44"/>
        </w:rPr>
        <w:t>数据服务认证自评价表</w:t>
      </w:r>
    </w:p>
    <w:p>
      <w:pPr>
        <w:jc w:val="center"/>
        <w:rPr>
          <w:rFonts w:ascii="黑体" w:hAnsi="黑体" w:eastAsia="黑体"/>
          <w:sz w:val="44"/>
          <w:szCs w:val="44"/>
        </w:rPr>
      </w:pPr>
      <w:r>
        <w:rPr>
          <w:rFonts w:hint="eastAsia" w:ascii="黑体" w:hAnsi="黑体" w:eastAsia="黑体"/>
          <w:sz w:val="44"/>
          <w:szCs w:val="44"/>
        </w:rPr>
        <w:t xml:space="preserve"> </w:t>
      </w:r>
      <w:r>
        <w:rPr>
          <w:rFonts w:ascii="黑体" w:hAnsi="黑体" w:eastAsia="黑体"/>
          <w:sz w:val="44"/>
          <w:szCs w:val="44"/>
        </w:rPr>
        <w:t xml:space="preserve">                                   </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12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4" w:type="pct"/>
            <w:tcBorders>
              <w:top w:val="single" w:color="auto" w:sz="4" w:space="0"/>
              <w:left w:val="single" w:color="auto" w:sz="4" w:space="0"/>
              <w:bottom w:val="single" w:color="auto" w:sz="4" w:space="0"/>
              <w:right w:val="single" w:color="auto" w:sz="4" w:space="0"/>
            </w:tcBorders>
            <w:vAlign w:val="center"/>
          </w:tcPr>
          <w:p>
            <w:pPr>
              <w:jc w:val="center"/>
              <w:rPr>
                <w:rFonts w:ascii="宋体" w:hAnsi="Calibri"/>
                <w:b/>
                <w:szCs w:val="21"/>
              </w:rPr>
            </w:pPr>
            <w:r>
              <w:rPr>
                <w:rFonts w:hint="eastAsia" w:ascii="宋体" w:hAnsi="宋体"/>
                <w:b/>
                <w:szCs w:val="21"/>
              </w:rPr>
              <w:t>自评价方名称</w:t>
            </w:r>
          </w:p>
        </w:tc>
        <w:tc>
          <w:tcPr>
            <w:tcW w:w="4446" w:type="pct"/>
            <w:tcBorders>
              <w:top w:val="single" w:color="auto" w:sz="4" w:space="0"/>
              <w:left w:val="single" w:color="auto" w:sz="4" w:space="0"/>
              <w:bottom w:val="single" w:color="auto" w:sz="4" w:space="0"/>
              <w:right w:val="single" w:color="auto" w:sz="4" w:space="0"/>
            </w:tcBorders>
            <w:vAlign w:val="center"/>
          </w:tcPr>
          <w:p>
            <w:pPr>
              <w:jc w:val="center"/>
              <w:rPr>
                <w:rFonts w:ascii="宋体" w:hAnsi="Calibri"/>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4"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服务类型</w:t>
            </w:r>
          </w:p>
        </w:tc>
        <w:tc>
          <w:tcPr>
            <w:tcW w:w="4446" w:type="pct"/>
            <w:tcBorders>
              <w:top w:val="single" w:color="auto" w:sz="4" w:space="0"/>
              <w:left w:val="single" w:color="auto" w:sz="4" w:space="0"/>
              <w:bottom w:val="single" w:color="auto" w:sz="4" w:space="0"/>
              <w:right w:val="single" w:color="auto" w:sz="4" w:space="0"/>
            </w:tcBorders>
            <w:vAlign w:val="center"/>
          </w:tcPr>
          <w:p>
            <w:pPr>
              <w:jc w:val="center"/>
              <w:rPr>
                <w:rFonts w:ascii="宋体" w:hAnsi="Calibri"/>
                <w:szCs w:val="21"/>
              </w:rPr>
            </w:pPr>
            <w:r>
              <w:rPr>
                <w:rFonts w:hint="eastAsia" w:ascii="宋体" w:hAnsi="Calibri"/>
                <w:szCs w:val="21"/>
              </w:rPr>
              <w:t>个人信息保护合规审计服务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4" w:type="pct"/>
            <w:tcBorders>
              <w:top w:val="single" w:color="auto" w:sz="4" w:space="0"/>
              <w:left w:val="single" w:color="auto" w:sz="4" w:space="0"/>
              <w:bottom w:val="single" w:color="auto" w:sz="4" w:space="0"/>
              <w:right w:val="single" w:color="auto" w:sz="4" w:space="0"/>
            </w:tcBorders>
            <w:vAlign w:val="center"/>
          </w:tcPr>
          <w:p>
            <w:pPr>
              <w:jc w:val="center"/>
              <w:rPr>
                <w:rFonts w:ascii="宋体" w:hAnsi="Calibri"/>
                <w:b/>
                <w:szCs w:val="21"/>
              </w:rPr>
            </w:pPr>
            <w:r>
              <w:rPr>
                <w:rFonts w:hint="eastAsia" w:ascii="宋体" w:hAnsi="宋体"/>
                <w:b/>
                <w:szCs w:val="21"/>
              </w:rPr>
              <w:t>自评价时间</w:t>
            </w:r>
          </w:p>
        </w:tc>
        <w:tc>
          <w:tcPr>
            <w:tcW w:w="4446" w:type="pct"/>
            <w:tcBorders>
              <w:top w:val="single" w:color="auto" w:sz="4" w:space="0"/>
              <w:left w:val="single" w:color="auto" w:sz="4" w:space="0"/>
              <w:bottom w:val="single" w:color="auto" w:sz="4" w:space="0"/>
              <w:right w:val="single" w:color="auto" w:sz="4" w:space="0"/>
            </w:tcBorders>
            <w:vAlign w:val="center"/>
          </w:tcPr>
          <w:p>
            <w:pPr>
              <w:jc w:val="left"/>
              <w:rPr>
                <w:rFonts w:ascii="宋体" w:hAnsi="Calibri"/>
                <w:szCs w:val="21"/>
              </w:rPr>
            </w:pPr>
          </w:p>
        </w:tc>
      </w:tr>
    </w:tbl>
    <w:p>
      <w:pPr>
        <w:pStyle w:val="3"/>
        <w:numPr>
          <w:ilvl w:val="1"/>
          <w:numId w:val="0"/>
        </w:numPr>
        <w:spacing w:before="0" w:after="0"/>
        <w:ind w:leftChars="0"/>
      </w:pPr>
      <w:r>
        <w:rPr>
          <w:rFonts w:hint="eastAsia"/>
          <w:lang w:val="en-US" w:eastAsia="zh-CN"/>
        </w:rPr>
        <w:t>1</w:t>
      </w:r>
      <w:r>
        <w:rPr>
          <w:rFonts w:hint="eastAsia"/>
        </w:rPr>
        <w:t>服务管理评价T</w:t>
      </w:r>
      <w:r>
        <w:t>C260-PG-20254A</w:t>
      </w:r>
      <w:r>
        <w:rPr>
          <w:rFonts w:hint="eastAsia"/>
        </w:rPr>
        <w:t>《网络安全标准实践指南—个</w:t>
      </w:r>
      <w:bookmarkStart w:id="0" w:name="OLE_LINK2"/>
      <w:r>
        <w:rPr>
          <w:rFonts w:hint="eastAsia"/>
        </w:rPr>
        <w:t>人信息保护合规审计专业机构</w:t>
      </w:r>
      <w:r>
        <w:rPr>
          <w:rFonts w:hint="eastAsia"/>
          <w:lang w:val="en-US" w:eastAsia="zh-CN"/>
        </w:rPr>
        <w:t>服务</w:t>
      </w:r>
      <w:r>
        <w:rPr>
          <w:rFonts w:hint="eastAsia"/>
        </w:rPr>
        <w:t>能力要求</w:t>
      </w:r>
      <w:bookmarkEnd w:id="0"/>
      <w:r>
        <w:rPr>
          <w:rFonts w:hint="eastAsia"/>
        </w:rPr>
        <w:t>》</w:t>
      </w:r>
    </w:p>
    <w:tbl>
      <w:tblPr>
        <w:tblStyle w:val="18"/>
        <w:tblpPr w:leftFromText="180" w:rightFromText="180" w:vertAnchor="text" w:horzAnchor="page" w:tblpX="943" w:tblpY="734"/>
        <w:tblOverlap w:val="never"/>
        <w:tblW w:w="158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519"/>
        <w:gridCol w:w="653"/>
        <w:gridCol w:w="840"/>
        <w:gridCol w:w="1365"/>
        <w:gridCol w:w="1173"/>
        <w:gridCol w:w="331"/>
        <w:gridCol w:w="3113"/>
        <w:gridCol w:w="1650"/>
        <w:gridCol w:w="2983"/>
        <w:gridCol w:w="1733"/>
        <w:gridCol w:w="236"/>
        <w:gridCol w:w="6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239" w:hRule="atLeast"/>
          <w:tblHeader/>
        </w:trPr>
        <w:tc>
          <w:tcPr>
            <w:tcW w:w="600"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序号</w:t>
            </w:r>
          </w:p>
        </w:tc>
        <w:tc>
          <w:tcPr>
            <w:tcW w:w="2012" w:type="dxa"/>
            <w:gridSpan w:val="3"/>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标准条款</w:t>
            </w:r>
          </w:p>
        </w:tc>
        <w:tc>
          <w:tcPr>
            <w:tcW w:w="1365"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评价指标</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评价要点</w:t>
            </w:r>
          </w:p>
        </w:tc>
        <w:tc>
          <w:tcPr>
            <w:tcW w:w="3113"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验证方法</w:t>
            </w:r>
          </w:p>
        </w:tc>
        <w:tc>
          <w:tcPr>
            <w:tcW w:w="1650"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证据示例</w:t>
            </w:r>
          </w:p>
        </w:tc>
        <w:tc>
          <w:tcPr>
            <w:tcW w:w="2983"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证据描述</w:t>
            </w:r>
          </w:p>
        </w:tc>
        <w:tc>
          <w:tcPr>
            <w:tcW w:w="1733"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自评结果（符合/不符合/不适用）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11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4.1基本条件</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专业机构应具备的基本条件如下：</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a)在中华人民共和国境内注册，具有独立法人资格，或具有合规审查资格的合伙人组织；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1、是否在中国境内注册成立？</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1）须在中国境内注册；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2）注册时间在有效期内。</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1）验证方法：在全国统一社会信用代码查询平台查验申请单位提供的资质证明，如统一社会信用代码证件；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2）验证方法：查验机构注册到期时间不得少于12个月。</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提供了平台查验结果页的截图，其中注册有效期为XX至XX。</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2、是否具有独立法人资格或为具有合规审查资格的合伙人组织？</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机构具有独立法人资格或合伙人组织具有合规审查资格。</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验证方法：查验申请机构提供的资质证明，且有国内有关部门颁发的法人证书；或合伙人组织的书面协议、出资证明、工商登记资料、经营决策文件（财务报告）、合规咨询服务相关证明材料等。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提供了XX资质证明复印件或XX截图。</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b)法定代表人、董事长、合伙人、高层管理人员以及个人信息保护合规审计人员为中国国籍，且无犯罪记录；</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1、法定代表人、董事、合伙人、高层管理人员以及个人信息保护合规审计人员是否为中国国籍？</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参与个人信息保护合规审计的相关人员，包括但不限于法定代表人、董事、合伙人、高层管理人员、审计人员须为中国国籍。</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验证方法：核实法定代表人、董事、合伙人、高层管理人员以及个人信息保护合规审计人员范围，查验范围内相关人员具有中华人民共和国居民身份证。</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机构的法定代表人、董事、高层管理人员以及个人信息保护合规审计人员共计XX人，提供了人员清单及对应人员的中华人民共和国居民身份证复印件。</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2、每年是否对法定代表人、董事、合伙人、高层管理人员以及个人信息保护合规审计人员开展无犯罪记录调查？</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公安机关开具审计业务相关人员无犯罪记录证明不存在犯罪情况。</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验证方法：查看机构提供的，由公安机关出具的上述相关人员自出生年起至申请年度的无犯罪记录证明。</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提供了审计业务相关人员的无犯罪记录证明。</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c)不存在涉法涉诉的情况；</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1、审计机构高层管理人员是否被列入中国执行信息公开网--失信执行人名单？</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机构的高层管理人员不得为失信被执行人。</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验证方法：在中国执行信息公开网--失信被执行人名单中查询，机构高层管理人员不在名单中。</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平台查询结果的截图。</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2、审计机构是否被国家税务总局列入重大税收违法失信案件信息公布栏名单？</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机构不得被列入重大税收违法失信案件信息公布栏。</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验证方法：在国家税务总局的重大税收违法失信案件信息公布栏中查询，机构未被列入。</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平台查询结果的截图。</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3、审计机构是否被列入中国政府采购网--政府采购严重违法失信行为记录名单？</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机构不得被列入中国政府采购网--政府采购严重违法失信行为记录名单。</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验证方法：在中国政府采购网--政府采购严重违法失信行为记录名单中查询，该机构未被列入。</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平台查询结果的截图。</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4、审计机构及其关联机构是否被国家商务部列入不可靠实体清单？</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机构及其关联机构不得被国家商务部列入不可靠实体清单。</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验证方法：在国家商务部发布的最新的不可靠实体清单中查询，机构及其关联机构不在清单内。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注：关联机构是指直接入股专业机构的组织。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清单中未查询到专业机构及关联机构的结果。</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5、审计机构是否被列入信用中国--严重失信主体名单？</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机构不得被列入信用中国--严重失信主体名单。</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验证方法：在信用中国官网--严重失信主体名单中查询，机构未被列入名单。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名单中未查询到专业机构的结果。</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d)不存在未处理的网络安全相关行政处罚和正在接受网络安全审查等情形；</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1、是否存在网络安全相关行政处罚且未处理情况？</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机构不得存在未处理的网络安全相关行政处罚情况。</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验证方法：在国家网信部门、公安部门、市场监管部门查询机构是否存在因网络安全、数据安全、个人信息保护相关问题被行政处罚的情况。</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机构近三年不存在受到网络安全相关行政处罚的情况（须机构提供自我声明）。</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2、是否正在接受网络安全审查或有未通过网络安全审查的情况？</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机构不得正在接受网络安全审查或有未通过网络安全审查的情况。</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验证方法：查询机构网络安全审查情况及自我声明，机构未有正在接受网络安全审查或未通过网络安全审查的情况。</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机构提供了不存在正在接受网络安全审查或未通过网络安全审查情况的自我声明。</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e)具备个人信息保护相关检查、检测、评估、咨询等服务项目或任务实施案例；</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1、是否支撑有关部门开展过个人信息保护检查工作或具有个人信息保护评估、检测、咨询服务项目案例？</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机构支撑有关部门实施的个人信息保护相关课题研究、检查、试点任务等或开展的个人信息保护相关的检测、评估、咨询等商业服务行为。</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验证方法：查验机构提供的有关部门出具的委托合同、工作通知等或已交付的个人信息保护相关商业服务的项目案例，案例至少包括服务约定（合同、协议等）、服务成果（如报告、建议书等）。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机构提供XX部门的XX委托合同/XX通知或市场化开展的XX服务工作内容与个人信息保护服务工作有关。</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13</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f)近3年没有因网络安全服务、数据安全服务、个人信息保护服务问题被有关部门通报。</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1、近三年是否存在因开展网络安全、数据安全、个人信息保护等相关服务不合规问题，被有关部门或上级单位通报的情况？</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机构近三年不得存在因网络安全服务、数据安全服务、个人信息保护服务问题被有关部门通报的情况。</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验证方法：查询主管部门官网、公众号和客户端程序信息，未见存在近三年因网络安全服务、数据安全服务、个人信息保护服务问题被通报的情况。</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查询相关平台，未见通报情况（须机构提供自我声明）。</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14</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g)不存在以下个人信息保护合规审计服务违规行为：</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1）作出的合规审计职业判断背离诚信正直原则，有失公正客观；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2）对在履行个人信息保护合规审计职责中获得的个人信息、商业秘密、保密商务信息等未依法依规予以保密；</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 转委托其他机构开展个人信息保护合规审计；</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4）连续三次以上对同一审计对象开展个人信息保护合规审计。</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1、是否制定了机构行为规范，规范内容是否至少包含：职业判断不得背离诚信正直原则、履职中获取信息依法保密、不得转委托其他机构审计、不得对同一审计对象连续开展审计超三次以上等？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机构正式出具或发布不存在g)中合规审计服务违规行为的自声明/公开承诺/行为准则。</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验证方法：查看机构提供的个人信息保护合规审计服务项目相关材料以及实施审计的项目清单，查验以下内容：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1）查验项目过程中作出的合规审计职业判断，是否存在背离诚信正直原则、有失公正客观的情况；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2）查验是否签订保密协议，是否对审计过程中获知的信息予以保密；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3）查验是否存在转委托其他机构开展审计的情况；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4）查验是否存在连续三次以上对同一审计对象开展个人信息保护合规审计。</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机构提供发布的声</w:t>
            </w:r>
            <w:r>
              <w:rPr>
                <w:rFonts w:hint="eastAsia" w:ascii="宋体" w:hAnsi="宋体" w:eastAsia="宋体" w:cs="宋体"/>
                <w:i w:val="0"/>
                <w:iCs w:val="0"/>
                <w:color w:val="auto"/>
                <w:kern w:val="0"/>
                <w:sz w:val="18"/>
                <w:szCs w:val="18"/>
                <w:u w:val="none"/>
                <w:lang w:val="en-US" w:eastAsia="zh-CN" w:bidi="ar"/>
              </w:rPr>
              <w:t>明或公开承诺或行为准则，以及机构开展过的合规审计项目材料。</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15</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2、是否正式声明按照行为规范要求开展审计活动？</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机构正式声明按照行为规范要求开展审计活动。</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验证方法：查看机构与被审计方签订的合同、协议、承诺，其中能够清楚表达上述行为规范的内容，语义无歧义。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机构与被审计方签订的合同、协议、承诺中有XX、XX等内容，能准确的覆盖上述行为规范内容。</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4.2 管理体系</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4.2.1 管理制度和机制</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专业机构应充分考虑个人信息保护合规审计的特点，建立并执行以下安全管理机制和制度：</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a)建立专业机构管理责任制度，明确合规审计责任部门、责任范围、责任人、工作流程、以及与其他部门的协调机制等，做好日常保密、宣传教育、质量监督、自查检查等各项任务；</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1、是否建立了专业机构管理责任制度，包括管理部门、管理责任范围、责任人、工作流程、安全管控措施及内部各部门间协作机制？</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机构提供的管理制度文档应包括合规审计责任部门、责任范围、责任人、工作流程以及日常保密、宣传教育、质量监督、自查检查等的要求。</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验证方法：查看机构建立的个人信息保护合规审计管理责任制度，明确上述内容管理要求，制度逻辑清晰、内容准确、结构完整，且得到正式发布。</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机构提供XX、XX制度，明确合规审计责任部门、责任范围、责任人、工作流程以及与其他部门的协调机制、日常保密、宣传教育、质量监督、自查检查等的一系列管理要求。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17</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2、是否能建立措施保障每年开展个人信息保护合规审计业务日常保密、日常质量监督、定期宣传教育、定期自检自查等工作？</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1）机构应落实制度管理要求，设置保密负责人、质量监督岗位，并履职；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2）机构应至少每年一次，开展宣传教育、自检自查工作（对象是责任管理范围内人员）。</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1）验证方法：查看能否按照制度管理要求明确质量监督、日常保密管理、教育培训等岗位责任人，访谈人员能否清楚履职内容；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2）验证方法：查验已开展的工作记录，业务宣传教育、自检自查等工作的频率及条件，开展频率满足每年至少一次。</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机构制定XX管理制度要求，访谈人员履职内容包括XX，提供了《XX签到表》等保密宣传教育记录、《XX自查表》等风险排查记录、《XX自查表》等工作记录,能够满足每年一次的频率要求。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18</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b)建立个人信息保护合规审计人员管理制度，包括但不限于：</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1)建立并保存合规审计人员的工作记录，有关法律法规、行业管理另有规定的除外，并与合规审计人员单独签订安全保密协议；</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2)定期对合规审计人员开展个人信息保护知识培训、合规审计人员技能培训、政策法规培训、安全保密教育等，增强合规审计人员专业技能和安全保密意识。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1、是否建立了个人信息保护合规审计人员管理制度？</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机构建立个人信息保护合规审计人员管理制度。</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验证方法：查看机构建立的人员管理制度，针对审计工作人员须具有普适性。</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机构制定的XX人员管理制度文档，针对合规审计人员的管理要求进行明确。</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19</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2、是否对合规审计人员保存工作记录做出书面要求？</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机构对合规审计人员保存工作记录做出书面要求。</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验证方法：查看机构建立的管理要求，其中是否明确对合规审计人员保存工作记录做出要求。</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机构制定的XX管理制度，其中明确对合规审计人员保存工作记录做出书面要求。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3、是否与合规审计人员单独签订安全保密协议？</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机构与合规审计人员单独签订安全保密协议。</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验证方法：查看机构与合规审计人员签订的安全保密协议，内容应能覆盖合规审计的工作特点，包括在岗保密义务、违反处置、离职调岗的处理方法等。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合规审计人员共计XX名，均已签订保密协议，现场查看了XX的《XX安全保密协议》，明确了XX等内容。</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21</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4、是否能建立措施保障每年对合规审计人员开展个人信息保护相关法律法规、专业技能、安全保密及风险意识等培训？</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机构至少每年一次对合规审计人员开展个人信息保护相关法律法规、专业技能、安全保密及风险意识等培训（对象是业务审计人员）。</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验证方法：查看机构制定的人员培训管理要求，其中合规审计人员开展培训的内容覆盖本标准要求，制度中明确培训频率且每年制定培训计划。</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机构提供的培训管理制度，明确培训的频率及培训内容，提供的年度培训计划。</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22.1</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c)建立合规审计方案审核管理制度，重点审核合规审计方案是否明确被审计对象的个人信息处理活动范围，以及拟投入的相关资源、审计实施周期等内容是否适当等；</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1、是否建立审计方案审核管理制度，并对审计方案的制定开展评审，评审内容包括但不限于审计对象范围是否明确、投入审计资源（人力、设备等）是否满足、实施时间安排是否适当等？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机构建立审计方案审核管理制度，明确审核要点、参与审核的人员数量及组成。</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验证方法：查看机构建立的审计方案审核管理制度，验证制度是否合理，其中须明确方案审核要点覆盖5.2.5中的要求。</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机构制定了XX制度，明确了对审计方案审核要点的管理要求。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22.2</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left"/>
              <w:rPr>
                <w:rFonts w:hint="eastAsia" w:ascii="宋体" w:hAnsi="宋体" w:eastAsia="宋体" w:cs="宋体"/>
                <w:i w:val="0"/>
                <w:iCs w:val="0"/>
                <w:color w:val="000000"/>
                <w:sz w:val="18"/>
                <w:szCs w:val="18"/>
                <w:u w:val="none"/>
              </w:rPr>
            </w:pP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机构对审计方案进行评审，留有记录，记录中包括对审计对象范围是否明确、投入审计资源（人力、设备等）是否满足、实施时间安排是否适当等评审事实。</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验证方法：查看方案评审记录，查验其中是否按照上述方案评审要求进行评审。</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查看《XX方案评审记录》，对XX等内容进行了评审。</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23</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d)建立合规审计工作档案管理制度，记录合规审计工作的归档材料，包括合同评审、合同、项目启动会、方案评审记录、报告评审记录、末次会议、现场审计授权书、项目交接单等；</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1、是否建立审计工作档案管理制度，是否能够记录审计工作的归档材料，包括但不限于合同评审、合同、项目启动会、方案评审记录、报告评审记录、末次会议、现场审计授权书、项目交接单等？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机构建立审计工作档案管理制度。</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验证方法：查看机构建立的审计工作档案管理制度，其中明确了归档材料要求，包括但不限于上述文件的保护要求、保存方式、归档时限等。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机构制定了XX档案管理制度，明确了需要归档的工作记录及归档要求。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24.1</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e)建立合规审计实施日常监督制度，记录并监督合规审计现场工作情况，包括进出合规审计现场的设备使用及材料调阅情况、事前告知情况以及其他合规审计实施情况等；</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1、是否建立审计实施日常监督制度，能够记录合规审计现场工作情况，包括但不限现场设备使用情况、材料调阅记录、事前告知记录及特殊情况监督记录等？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机构建立合规审计监督管理制度。</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验证方法：查看机构是否建立合规审计监督管理实施要求有关制度。</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机构制定了XX监督管理制度，明确了对合规审计实施日常监督管理的相关要求。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24.2</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left"/>
              <w:rPr>
                <w:rFonts w:hint="eastAsia" w:ascii="宋体" w:hAnsi="宋体" w:eastAsia="宋体" w:cs="宋体"/>
                <w:i w:val="0"/>
                <w:iCs w:val="0"/>
                <w:color w:val="000000"/>
                <w:sz w:val="18"/>
                <w:szCs w:val="18"/>
                <w:u w:val="none"/>
              </w:rPr>
            </w:pP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机构制定的合规审计监督记录表单，能够真实完整记录合规审计现场工作情况，包括但不限现场设备使用情况、材料调阅记录、事前告知记录及特殊情况等。</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验证方法：查看合规审计项目监督记录文件，查验其中记录项是否至少包括进出现场设备使用情况、材料调阅记录、事前告知记录及特殊情况监督等。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机构按照XX监督管理制度要求，提供了XX表单，记录项包括合规审计现场工作情况，包括但不限现场设备使用情况、材料调阅记录、事前告知记录及特殊情况监督等。</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建立个人信息保护合规审计报告审核管理制度，重点审核个人信息保护合规审计报告的科学性、完整性，合规审计过程证明材料的充分性、真实性，以及合规审计结论的客观性、准确性，通过审核的合规审计报告才可提供给被审计对象；</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1、是否建立合规审计报告审核管理制度，明确针对报告内容的科学、完整性审核的规范要求？</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机构建立合规审计报告审核管理制度，针对报告内容的科学性、完整性提出审核要点。</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验证方法：查看机构建立的审计报告审核管理制度，其中是否针对报告内容的科学性、完整性提出规范要求，审核要点覆盖5.4.2要求。</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机构制定了XX管理制度，明确了对报告内容的科学性、完整性开展评审的管理要求，查看XX报告评审记录。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26</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2、是否建立合规审计报告审核管理制度，明确针对合规审计过程证明材料的充分性、真实性审核的规范要求？</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机构建立合规审计报告审核管理制度，针对合规审计过程证明材料的充分性、真实性提出审核要点。</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验证方法：查看机构建立的审计报告审核管理制度，其中是否针对合规审计过程证明材料的充分性、真实性提出规范要求，审核要点覆盖5.3要求。</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机构制定了XX管理制度，明确了对审计报告的过程证明材料的充分性、真实性作出评审的管理要求，查看XX报告评审记录。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27</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3、是否建立合规审计报告审核管理制度，明确针对审计结论的客观、准确性审核的规范要求？</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机构建立合规审计报告审核管理制度，针对审计发现问题、审计结论的客观、准确性提出审核要点。</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验证方法：查看机构建立的审计报告审核管理制度，其中是否针对审计结论、审计发现问题的客观、准确性提出规范要求，审核要点覆盖5.4.2d)-g)要求。</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机构制定了XX管理制度，明确了对审计发现问题、审计结论的客观、准确性作出评审的管理要求，查看XX报告评审记录。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28</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g)建立执行合规审计定期自查机制，对合规审计项目、人员、场所、安全保密、违规行为等进行自查，自查周期不低于每年一次，发现问题隐患及时整改，并留存相关记录，自查内容包括：合规审计项目完成情况，合规审计报告完成、存放及管理情况，合规审计人员背景及行为规范情况，合规审计设备管理和使用情况，合规审计场所环境安全情况，合规审计实施安全管理情况等；</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合规审计工作定期自查机制，明确自查内容至少包括：审计项目完成情况、审计过程证明材料及审计报告存放管理情况、审计人员背景及行为规范情况、审计设备使用和存放管理情况、合规审计场所环境安全情况、审计实施安全保密管理情况？</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合规审计定期自查机制，明确自查内容至少包括审计项目完成情况、审计过程证明材料及审计报告存放管理情况、审计人员背景及行为规范情况、审计设备使用和存放管理情况、合规审计场所环境安全情况、审计实施安全保密管理情况。</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验证方法：查看机构建立的合规审计定期自查机制，其中是否明确开展自查工作的周期，频率至少要求每年一次，以及自查内容是否涵盖本条g)中要求。</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机构建立合规审计定期自查机制，在XX制度中明确每年X次合规审计自查工作，自查内容覆盖本条g)中要求。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29</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2、是否至少每年一次按照自查机制开展了合规审计自查工作，是否根据自查结果对发现的必要问题隐患进行整改或说明？</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机构每年开展自查工作，须对自查过程进行记录，对自查发现的必要问题隐患进行整改或说明。</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验证方法：查看机构的自查记录/报告以及根据自查结果进行整改的记录/报告，查验机构是否按照自查机制每年开展至少一次自查工作，是否根据自查结果对发现的必要问题隐患进行整改或说明。</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机构提供每年开展合规审计自查工作的自查记录/报告，必要问题隐患的整改记录。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30</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建立变更管理制度，变更前与审计对象就具体事项主动沟通，经审计对象同意后，确保变更以受控的方式得到评估、批准和实施；变更后对合规审计目标、质量和效率、审计对象信息系统和业务造成影响的，进行针对性的改进、补救或恢复；</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1、是否建立了合规审计变更管理制度，明确需进行变更审批的事项及变更操作流程？</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机构建立的合规审计变更管理制度中明确变更审批事项及变更事项操作流程。</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验证方法：查看机构的合规审计变更管理制度，查验其中是否明确需进行变更审批的事项及变更事项操作流程，变更审批事项包括审计范围重大变更、审计方式更改、审计负责人更换等。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机构建立了XX合规审计变更管理制度，明确了需进行变更审批的事项：XX、XX，并通过XX制度明确各变更事项操作流程。</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31</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2、是否建立机制使得审计变更前得到被审计对象的同意，变更实施采用受控方式？</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1）机构合规审计变更管理制度中明确变更需得到被审计对象的同意；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2）变更前得到被审计对象的同意，且实施过程须受控（如有）。</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1）验证方法：查看机构的合规审计变更管理制度，查验是否明确了变更前需要得到被审计对象同意的内容；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2）验证方法：查看机构的合规审计变更过程记录判断变更过程是否受控，且有被审计对象的同意记录（如有）。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机构建立了XX合规审计变更管理制度，其中明确了变更需经审计对象的同意，变更过程采用受控方式实施，留存了XX记录。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3、变更后造成审计目标、质量和效率、被审计对象信息系统和业务影响的，能否具有进行补救或恢复的处理机制？</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机构明确变更对审计目标、质量和效率、被审计对象信息系统和业务产生影响时的补救/恢复处理机制。</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在变更管理制度或配套实施文件中明确变更对审计目标、质量和效率、被审计对象信息系统和业务产生何种影响（如更换负责人导致进度可能延期）时，采取何种的补救/恢复处理机制（如适当延长每日项目时间）。</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机构建立了XX合规审计变更管理制度，其中明确了变更对审计目标、质量和效率、被审计对象信息系统和业务产生XX影响时的XX补救/恢复处理机制。</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33</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4、如有专业机构变更内容影响服务认证证书、或影响其执行合规审计能力的内容，需要向认证机构提出变更申请，由认证机构确认后，重新确认专业机构服务能力有效性？</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专业机构明确变更内容影响服务认证证书、或影响其执行合规审计能力的内容，需要向认证机构提出变更申请的机制。</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验证方法：查看机构是否在管理制度或配套文件中明确专业机构变更内容影响服务认证证书、或影响其执行合规审计能力的内容，如组织更名、业务重大调整等需要向认证机构提出变更申请的机制。</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机构建立了XX合规审计变更管理制度，其中明确专业机构变更事项影响服务认证证书、或影响其执行合规审计能力的需要向认证机构提出变更申请的机制。</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34</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i)建立项目沟通与应急处置机制，发现审计对象安全风险或发生个人信息安全事件时，应按合同或协议要求及时向审计对象报告，并记录事件相关内容，根据相关国家规定要求进行报告和协助处置；</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1、是否建立了项目沟通与应急处理机制，明确个人信息安全事件的处置流程？</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机构建立的项目沟通与应急处理机制覆盖个人信息安全事件处理的全流程。</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验证方法：查看机构的合规审计相关管理制度，查验其中是否明确项目沟通与应急处理机制，是否明确个人信息安全事件的处置流程。</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机构建立了XX管理制度，明确了项目沟通与应急处理机制，并在XX节明确个人信息安全事件的处置流程。</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35</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2、是否能在合规审计过程或合规审计机构内部管理中监测到可能发生的个人信息安全事件？</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机构对个人信息安全事件的监测机制是否有效。</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验证方法：查看机构建立的监测机制和措施，查验是否通过相关措施实现在合规审计过程或合规审计机构内部管理中监测到可能发生的个人信息安全事件。</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机构建立了XX措施，实现在合规审计过程或合规审计机构内部管理中监测到可能发生的个人信息安全事件，留存了XX监测记录。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36</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3、个人信息安全事件发生时，是否能按合同或协议要求及时向被审计对象报告，并记录事件相关内容，并根据相关国家规定、标准要求进行报告和协助处置？</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1）机构能够在个人信息安全事件发生时按照合同或协议要求及时向被审计对象报告，并记录事件相关内容（如有）；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2）机构能够建立事件报告机制，根据相关国家规定、标准要求协助被审计方向保护部门上报，并进行协助处置（如有）。</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验证方法：查看机构建立的事件报告机制，能保证在个人信息安全事件发生时，按照合同或协议要求及时向被审计对象报告；查验相关报告记录模板，须能够真实完整记录事件的时间、原因、影响、补救建议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2）验证方法：查看机构建立的事件上报机制，明确在个人信息安全事件发生时，根据相关国家规定（如《国家网络安全事件报告管理办法》）、标准要求协助被审计方向保护部门上报，并进行协助处置。</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措施，在个人信息安全事件发生时按照合同或协议要求及时向被审计对象报告，经查XX记录，能够真实有效地记录XX事件的XX等内容；发生需向国家保护部门报告的安全事件时，机构建立了XX机制，能在个人信息安全事件发生时，根据XX国家规定、XX标准要求协助被审计方向保护部门上报，并进行协助处置。</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37</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j)制定合规审计活动行为准则，不得从事的活动内容包括但不限于：</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1）同审计对象之间存在可能影响其独立履行审计职责、做出独立审计结论的利害关系；</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2）故意隐瞒合规审计过程中发现的合规问题，或者在合规审计过程中弄虚作假、歪曲事实，做出有误导性或含糊的陈述，未如实出具个人信息保护合规审计报告；</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3)对系统或数据的操作超出律法规规定、合同、协议及审计对象等约定的范围；</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4)未与审计对象对合规审计工作期间的保密工作进行充分协商，造成泄露审计对象的个人信息、商业秘密、保密商务信息等；</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5)非授权占有、使用个人信息保护合规审计相关资料及数据文件；</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6)向审计对象推荐、或限定审计对象购买、使用其指定的相关产品或服务；</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7)转委托其他机构开展个人信息保护合规审计；</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8)同一机构及其关联机构、同一合规审计负责人连续三次以上对同一审计对象开展合规审计；</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9)其他可能严重影响审计对象正常运行，危害审计对象合法权益的行为。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1、是否制定了不低于标准要求的合规审计活动行为准则？</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机构制定合规审计活动行为准则，对j)中不得从事的活动内容进行明确。</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验证方法：查看机构制定合规审计活动行为准则，查验其中是否对标准中不得从事的活动内容进行明确禁止。</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机构建立了XX合规审计活动行为准则，其中明确不得从事的活动内容的包括：……。</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38</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2、是否能确保所有合规审计人员均知晓合规审计活动行为准则，并能对违反准则的情况进行处理？</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1）机构通过发布公开要求确保所有合规审计人员均知晓合规审计活动行为准则并明确了违反准则的惩处措施；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2）机构对发现的合规审计人员违反准则的情况进行处理（如有）。</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1）验证方法：查验机构人员行为准则发布或教育培训情况，访谈至少</w:t>
            </w:r>
            <w:r>
              <w:rPr>
                <w:rFonts w:hint="eastAsia" w:ascii="宋体" w:hAnsi="宋体" w:eastAsia="宋体" w:cs="宋体"/>
                <w:i w:val="0"/>
                <w:iCs w:val="0"/>
                <w:color w:val="FF0000"/>
                <w:kern w:val="0"/>
                <w:sz w:val="18"/>
                <w:szCs w:val="18"/>
                <w:u w:val="none"/>
                <w:lang w:val="en-US" w:eastAsia="zh-CN" w:bidi="ar"/>
              </w:rPr>
              <w:t>三</w:t>
            </w:r>
            <w:r>
              <w:rPr>
                <w:rFonts w:hint="eastAsia" w:ascii="宋体" w:hAnsi="宋体" w:eastAsia="宋体" w:cs="宋体"/>
                <w:i w:val="0"/>
                <w:iCs w:val="0"/>
                <w:color w:val="000000"/>
                <w:kern w:val="0"/>
                <w:sz w:val="18"/>
                <w:szCs w:val="18"/>
                <w:u w:val="none"/>
                <w:lang w:val="en-US" w:eastAsia="zh-CN" w:bidi="ar"/>
              </w:rPr>
              <w:t>位合规审计人员，</w:t>
            </w:r>
            <w:r>
              <w:rPr>
                <w:rFonts w:hint="eastAsia" w:ascii="宋体" w:hAnsi="宋体" w:eastAsia="宋体" w:cs="宋体"/>
                <w:i w:val="0"/>
                <w:iCs w:val="0"/>
                <w:color w:val="FF0000"/>
                <w:kern w:val="0"/>
                <w:sz w:val="18"/>
                <w:szCs w:val="18"/>
                <w:u w:val="none"/>
                <w:lang w:val="en-US" w:eastAsia="zh-CN" w:bidi="ar"/>
              </w:rPr>
              <w:t>其中至少包含一位高级合规审计员</w:t>
            </w:r>
            <w:r>
              <w:rPr>
                <w:rFonts w:hint="eastAsia" w:ascii="宋体" w:hAnsi="宋体" w:eastAsia="宋体" w:cs="宋体"/>
                <w:i w:val="0"/>
                <w:iCs w:val="0"/>
                <w:color w:val="000000"/>
                <w:kern w:val="0"/>
                <w:sz w:val="18"/>
                <w:szCs w:val="18"/>
                <w:u w:val="none"/>
                <w:lang w:val="en-US" w:eastAsia="zh-CN" w:bidi="ar"/>
              </w:rPr>
              <w:t>，确认其知晓行为准则要求；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2）验证方法：查看合规审计人员违反准则处理记录，查验机构是否对发现的合规审计人员违反准则的情况进行处理。</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机构通过发布XX确保所有合规审计人员均知晓合规审计活动行为准则和违反准则的惩处措施。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XX年XX月发现合规审计人员XX出现违反准则的情况，及时进行了处理，并留存了XX处理记录（如有）。</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39</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4.2.2 合规审计风险控制</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4.2.2.1 合规审计风险分析</w:t>
            </w:r>
          </w:p>
        </w:tc>
        <w:tc>
          <w:tcPr>
            <w:tcW w:w="25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应在开展合规审计前分析合规审计活动的潜在风险，制定应对措施并确认其有效性，对可能产生的风险、应对措施向被审计对象进行风险提示，经其同意后采取影响最小的方式实施，潜在风险包括但不限于：</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a)专业机构因不可抗力导致的任务逾期、审计对象提供的材料不全导致合规审计结果不准确等方面的风险；</w:t>
            </w: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1、是否建立合规审计风险控制机制，明确审计活动流程中的风险点及管控要求，并能以适当方式对审计对象予以提示？</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1）机构建立合规审计风险控制机制，明确审计活动流程中的风险点及对应管控要求；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2）明确对被审计对象的风险提示方式。</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1）验证方法：查看机构的合规审计风险控制机制，查验其中是否明确审计活动流程中的风险点及管控要求；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2）验证方法：查验是否通过适当方式将审计项目风险对被审计对象予以明确提示。</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机构建立了XX合规审计风险控制机制配套文件，其中明确了审计活动流程中的风险点及管控要求，查验XX项目，通过XX文件/协议将相关风险内容向被审计对象明确提示。</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40</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2、是否能在协议等有效力的文件中明确约定或提示因不可抗力问题导致的任务逾期风险及应对措施？</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机构需在审计项目商务协议/方案/风险告知中明确约定或以显著方式提示因不可抗力问题导致的任务逾期风险及应对措施。</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提供的协议/方案/风险告知等材料中与被审计对象明确约定或显著提示因不可抗力问题导致的任务逾期风险及应对措施等相关内容（如突遇护网工作期间，不便接入系统测试可能导致任务逾期风险，采取采信已有技术测试报告，待护网结束再进行验证的措施，降低逾期风险。）。</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机构在XX协议/方案/风险告知文档中，与被审计对象明确约定/以XX方式提示因不可抗力问题导致的任务逾期风险及应对措施。</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41</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3、是否能在协议等有效力的文件中明确提示因审计材料完整程度导致的合规审计结果准确性风险及补救措施？</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审计项目商务协议/方案/风险告知中明确约定或以显著方式提示因审计材料完整程度导致的合规审计结果准确性风险及补救措施。</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提供的协议/方案/风险告知等材料中，与被审计对象明确约定或显著提示因审计材料不完整导致的合规审计结果准确性风险及补救措施相关内容，如未提供第三方共享清单，证据缺失导致审计结果为第三方管控缺失，约定补救措施为在整改期内补交证据。</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机构在XX协议/方案/风险告知文档中，与被审计对象明确约定/以XX方式提示因审计材料完整程度导致的合规审计结果准确性风险及补救措施。</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42</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b)合规审计活动可能对个人信息处理活动正常运行造成影响的风险，以及合规审计设备或工具接入可能对被审计对象的系统正常运行造成影响的风险；</w:t>
            </w: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1、是否能在协议等有效力的文件中明确审计活动对个人信息处理者业务运行可能造成的影响及应对措施？</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审计项目商务协议/方案/风险告知中明确约定或以显著方式提示合规审计活动可能对个人信息处理者业务运行造成的影响及相应的应对措施。</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提供的协议/方案/风险告知等材料中，与被审计对象明确约定或以显著方式提示合规审计活动可能对个人信息处理者业务运行造成的影响及相应的应对措施等内容，如审计人员需要操作业务人员终端查看文件，影响工作效率，采取外接分屏操作的方式应对。</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机构在XX协议/方案/风险告知文档中，与被审计对象明确约定/以XX方式提示合规审计活动可能对个人信息处理者业务运行造成的影响及相应的应对措施。</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43</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2、是否建立相应机制能在审计活动中明确提示设备或工具接入对被审计信息系统正常运行可能造成的影响及应对措施？</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审计项目商务协议/方案/风险告知中明确约定或以显著方式提示设备或工具接入可能对被审计信息系统正常运行造成的影响及相应的应对措施。</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提供的协议/方案/风险告知等材料中，与被审计对象明确约定或以显著方式提示设备或工具接入可能对被审计信息系统正常运行造成的影响及相应的应对措施等相关内容，如数据漏洞扫描可能导致业务连续性受损，采取夜间扫描的方式避开业务高峰时段。</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机构在XX协议/方案/风险告知文档中，与被审计对象明确约定/以XX方式提示设备或工具接入可能对被审计信息系统正常运行造成的影响及相应的应对措施。</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44</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3、无论被审计对象是否同意接受接入设备或工具带来潜在风险的，审计机构能否得到其明确意见？</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被审计对象同意/不同意接受接入设备或工具带来潜在风险的意见记录。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验证方法：查验机构与被审计对象间的授权书、风险确认书等相关材料，确定双方已对是否同意接受接入设备或工具带来潜在风险事宜进行协商，查验工具接入授权的明确意见记录。</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经查XX项目，机构在XX授权书/风险确认书文档中，与被审计对象对于是否接受接入设备或工具所带来的潜在风险进行了明确告知，得到了同意/不同意的意见记录。</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45</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c)其他可能危害被审计的个人信息处理者、个人信息处理活动等相关风险。</w:t>
            </w: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1、是否在协议中约定因审计技术手段不成熟对个人信息处理活动产生的风险及应对措施？</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审计项目商务协议/方案/风险告知中，明确约定或以显著方式告知因审计技术手段不成熟对个人信息处理活动产生的风险及相应的应对措施。</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验证方法：查验机构提供的协议/方案/风险告知等材料中，与被审计对象明确约定或以显著方式告知因审计技术手段不成熟对个人信息处理活动产生的风险及相应的应对措施等相关内容，如进行渗透测试或接入动态监测工具可能存在影响业务稳定性的风险，应对措施为提前与被审计对象确认接入测试方案。</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机构在XX协议/方案/风险告知文档中，与被审计对象明确约定/以XX方式书面告知因审计技术手段不成熟对个人信息处理活动产生的风险及相应的应对措施。</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46</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2、是否在协议中约定因审计人员操作不当导致个人信息处理者面临的风险及应对措施？</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审计项目商务协议/方案/风险告知中，明确约定或以显著方式告知因审计人员操作不当导致个人信息处理者面临的风险及应对措施。</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提供的协议/方案/风险告知中，与被审计对象明确约定或以显著方式告知因审计人员操作不当导致个人信息处理者面临的风险及应对措施等相关内容，如审计人员误删了业务数据库表，采取在审计现场前后提醒被审计对象进行备份的措施。</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机构在XX协议/方案/风险告知文档中，与被审计对象明确约定/以XX方式书面告知因审计人员操作不当导致个人信息处理者面临的风险及应对措施。</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47</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3、是否协议约定对审计范围内处理活动涉及的个人信息主体造成的损害风险及责任承担？</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审计项目商务协议/方案/风险告知中，明确约定或以显著方式告知对审计范围内处理活动涉及的个人信息主体造成的损害风险及责任承担。</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提供的协议/方案/风险告知中，与被审计对象明确约定或以显著方式告知对审计范围内处理活动涉及的个人信息主体造成的损害风险及责任承担等相关内容，如审计人员通过业务系统篡改自然人健康信息，损害自然人合法权益的，审计机构应采取惩处措施，涉嫌违法犯罪的，移交公安机关。</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机构在XX协议/方案/风险告知文档中，与被审计对象明确约定/以XX方式书面告知对审计范围内处理活动涉及的个人信息主体造成的损害风险及责任承担。</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4.2.2.2 合规审计风险控制</w:t>
            </w:r>
          </w:p>
        </w:tc>
        <w:tc>
          <w:tcPr>
            <w:tcW w:w="25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专业机构应针对合规审计活动可能存在的风险实施对应的管理和技术措施加以控制：</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a) 管理措施包括制定应急预案，明确不可抗力可能导致审计逾期情形下的替代方案，加强安全操作和意识培训，完善和宣贯安全操作规程等；</w:t>
            </w: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1、是否在相关制度中明确应急预案的管理要求及触发条件？</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机构制定合规审计应急预案管理的有关制度，明确应急预案触发条件等必要管理要求。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验证方法：查看机构的合规审计管理制度，其中是否明确了应急预案的管理要求，包括触发条件、应急组织架构、应急资源保障要求等。</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机构在XX合规审计管理制度中明确了应急预案的管理要求，包括触发条件、XX、XX。</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49</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2、是否具有合规审计应急预案，并明确不可抗力导致逾期情形下的替代方案？</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1）机构制定合规审计应急预案；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2）应急预案中明确不可抗力导致逾期情形下的替代方案。</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验证方法：查看机构制定的合规审计应急预案，查验其中有明确的不可抗力导致逾期情形下的替代方案。</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机构制定了合规审计应急预案，并在其中明确不可抗力导致逾期情形下的替代方案。</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3、是否规定应急管理规程相关文件的修订完善要求，并将最新版本文件进行发布并开展教育培训？</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1）合规审计管理制度中规定应急管理规程相关文件的修订、更新要求；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2）在相关文件修订后及时对新版本文件进行发布并开展教育培训。</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1）验证方法：查验机构的合规审计管理制度，其中是否明确了应急管理规程相关文件的修订完善要求，如明确更新的频率、修订的触发条件、发布的方式等；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2）验证方法：查看最新版本文件的发布后的教育培训记录。</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机构在XX合规审计管理制度中明确了每年对应急管理规程相关文件进行审核，并在XX情况下进行更新，XX年XX月发布了最新版本的XX文件，以XX方式进行了文件的教育培训。</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51</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 技术措施包括采用安全可靠的合规审计工具，对合规审计报告及有关证据材料的全流程留痕、合规审计人员权限管理、加密传输、加密存储等。</w:t>
            </w: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1、审计机构配备的合规审计工具是否有证据证明其安全可靠？</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使用的合规审计工具是否有安全证明。</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验证方法：查看机构合规审计工具清单以及配套的工具安全可靠证明材料，如产品安全认证证书、安全测试报告等。</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机构配备了XX、XX合规审计工具，具有XX工具清单，提供了XX等证明材料。</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52</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2、是否能采用人员权限访问控制、加密传输、加密存储、过程留痕等技术措施将审计实施风险尽可能降低？</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机构采用技术措施降低审计实施风险，技术措施包括但不限于权限访问控制、加密传输、加密存储、过程留痕等。</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验证方法：访谈机构所采取的降低审计实施风险的技术措施，要求对技术措施的有效性进行演示，如审计底稿可读不可改等权限控制方式。</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机构通过采取XX、XX等技术措施，在一定程度上降低了审计实施风险。</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53</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4.2.3业务连续性保障管理</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4.2.3.1技术培训</w:t>
            </w:r>
          </w:p>
        </w:tc>
        <w:tc>
          <w:tcPr>
            <w:tcW w:w="25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应持续开展对合规审计人员的培训，培训内容应包括政策法规及标准规范、实践经验、合规审计案例、工具使用等，培训方式可采用内训、外训相结合的方式，个人信息保护合规审计人员每年培训时间应不少于20学时。</w:t>
            </w: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1、是否制定了合规审计人员培训计划，培训内容是否包括政策法规、标准规范、实操教学、案例分析等？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机构制定合规审计人员培训计划，计划中的培训内容至少包括《个人信息保护法》、《数据安全法》、《网络数据安全管理条例》、个人信息保护标准规范、实施过程教学、过往案例分析等。</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验证方法：查验机构的合规审计人员培训计划，检查计划中的培训内容至少包括《个人信息保护法》、《数据安全法》、《网络数据安全管理条例》、个人信息保护标准规范、实施过程教学、过往案例分析。</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机构制定了XX年度的合规审计人员培训计划，计划中的培训内容包括XX法、XX规定、XX标准、XX教学、案例分析等方面内容。</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54</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2、是否提供培训记录，保证合规审计人员每年培训时长不低于20个学时？</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根据培训计划开展培训工作，机构留存培训记录，每年合规审计人员的培训时长不低于20个学时。</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验证方法：依据培训计划，查验机构的合规审计人员培训记录（内部或外部），每年合规审计人员的培训时长不低于20个学时，其中一学时至少45分钟。</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机构留存了XX、XX等培训记录，近一年合规审计人员的培训时长为XX个学时，不低于20个学时。</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初次，不足20个学时，观察项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55</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4.2.3.2 投诉处理</w:t>
            </w:r>
          </w:p>
        </w:tc>
        <w:tc>
          <w:tcPr>
            <w:tcW w:w="25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专业机构应制定投诉及争议处理制度，严格遵守申诉、投诉及争议处理制度，并应记录投诉处理全过程。</w:t>
            </w: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1、是否制定了申诉、投诉及争议处置管理制度？</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机构制定投诉及争议处理制度。</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验证方法：查看机构的投诉及争议处理制度，明确合规审计申诉、投诉及争议处理的流程和相关要求。</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机构制定了XX投诉及争议处理制度，明确了对合规审计过程的申诉、投诉及争议处理的流程和相关要求。</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56</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2、是否保障申投诉渠道畅通？</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对机构的申投诉容易达成，能够公开申投诉渠道或容易获取信息的途径。</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验证方法：核验公开的申投诉渠道，如拨打热线电话、客户服务留言等，能够得到接听或回复。</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机构采取了XX措施保障申投诉渠道畅通，经测试申投诉渠道畅通。</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57</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4.2.3.3 持续改进</w:t>
            </w:r>
          </w:p>
        </w:tc>
        <w:tc>
          <w:tcPr>
            <w:tcW w:w="25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应建立持续改进机制，确定改进措施和计划，持续改进管理体系的适用性、充分性和有效性。持续完善个人信息保护合规审计活动有关管理机制、操作手册、技术方法，总结形成技术指导书，持续跟踪国内外个人信息保护及个人信息保护合规审计相关法律法规和技术发展，持续优化提升专业机构自身专业能力和管理水平。</w:t>
            </w: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1、是否在相关管理制度中明确合规审计业务政策标准跟踪、持续改进目标、改进措施和计划等？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机构在管理制度中明确合规审计业务政策标准跟踪、持续改进目标、改进措施和计划等具体内容。</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验证方法：查看机构的相关管理制度中明确的合规审计业务政策标准跟踪、持续改进目标、改进措施和计划等内容。</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机构在XX管理制度/文档中明确了合规审计业务政策标准跟踪、持续改进目标、改进措施和计划等内容。</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58</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3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2、是否针对合规审计活动开展过程中发现的问题形成指导性文件，如作业指导书、技术手册等，并定期评审更新？</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总结合规审计活动开展过程中发现的问题，形成指导性技术文件，并做到定期评审更新。</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验证方法：查看机构的合规审计作业指导书/技术手册等，须针对合规审计活动开展过程中发现的问题形成指导，按照制度管理要求定期评审更新。</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机构制定了XX作业指导书/技术手册，其中针对合规审计活动开展过程中发现的问题总结方法，形成XX文件，每年对XX文件进行评审更新，形成了XX评审记录/更新记录。</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初次，未评审更新，观察项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59</w:t>
            </w:r>
          </w:p>
        </w:tc>
        <w:tc>
          <w:tcPr>
            <w:tcW w:w="11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4.3 专业能力</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专业机构应具备开展个人信息保护合规审计的专业能力，能够真实、有效、充分的开展个人信息保护合规审计。个人信息保护合规审计专业能力要求如下：</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a)法律法规和标准规范知识。具备个人信息保护相关法律法规及标准规范知识，熟悉个人信息处理活动及相关行业领域、主管监管部门和地方区域的监管要求，能够识别个人信息处理者的违规行为；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1、专业机构是否收集和整理所在行业或地区对个保相关法律法规、监管要求，做好内部相关人员培训与考试，能够按照法规识别违规行为？</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机构汇总完善个人信息保护相关法律、法规及强制性标准要求，为内部培训提供资料基础，且能够帮助识别个人信息处理者的违法违规行为。</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验证方法：查阅机构提供的梳理材料目录，其中至少包括国家法律法规、行业规定、地方性规定、国家标准、行业标准等。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机构梳理汇总了个人信息保护相关法律法规及标准规范知识，在内部培训和审计活动中提供了专业知识支撑。</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60</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2、审计机构是否能保障人员知晓行业或地区的个人信息保护标准规范制定和施行情况？</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机构通过内外部培训、学习教育保障合规审计人员知晓个人信息处理的国家标准、规范情况。</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验证方法：访谈合规审计人员，确保其知晓各类个人信息保护相关的法律、规定、行业要求等，如《个人信息保护合规审计管理办法》、《人脸识别技术应用安全管理办法》等。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机构合规审计人员就开展过的项目案例对XX法、XX规定及XX行业要求进行了介绍。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61</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 个人信息处理活动范围识别。能够在个人信息处理者支持下，确定个人信息保护合规审计的对象、范围和边界，明确个人信息保护合规审计涉及的个人信息、个人信息处理活动、业务、信息系统、人员和内外部相关方等；</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1、审计机构是否制定了个人信息保护合规审计范围识别指南等指导文件用于帮助明确审计对象、审计范围和边界？</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机构制定个人信息保护合规审计范围识别指南等指导文件，来指导审计对象、审计范围和边界的确定方法。</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验证方法：查看机构制定的个人信息保护合规审计范围识别指南等指导文件，能够指导审计人员确定审计对象、审计范围和边界。</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机构制定了XX等指导文件，来指导审计对象、审计范围和边界的确定方法。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62</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c)个人信息识别，能够识别个人信息的类别、级别、范围、规模、形态等；</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1、是否能够识别个人信息的类别、级别、范围、规模、形态等要素？</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能够在审计活动中识别个人信息的类别、级别、范围、规模、形态等要素。</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验证方法：查阅合规审计项目案例文档，其中能够识别个人信息的类别、级别、范围、规模、形态等要素。</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机构提供了XX合规审计项目相关材料，在XX文件中识别了个人信息的类别、级别、范围、规模、形态等要素。</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63</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d)个人信息处理环节识别，能够识别个人信息处理活动目的，以及个人信息收集、存储、使用、加工、传输、提供、公开、删除环节的方式、系统、范围等；</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1、是否能针对业务场景识别发现个人信息处理活动各项环节及处理目的？</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能够针对业务场景识别发现个人信息处理活动各项环节及处理目的。</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验证方法：查阅合规审计项目案例文档，其中能够针对业务场景无遗漏的识别发现个人信息处理活动各项环节及处理目的，如针对考试系统，明确收集、存储、加工等处理环节及各环节的处理目的。</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机构提供了XX合规审计项目相关材料，在XX文件中针对业务场景识别发现个人信息处理活动各项环节及处理目的。</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2、是否能识别个人信息处理活动目的、个人信息处理各环节活动，涵盖的个人信息和系统范围？</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能够识别个人信息处理活动目的、个人信息处理各环节活动涵盖的个人信息和系统范围。</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验证方法：查阅合规审计项目案例文档，其中能够识别个人信息处理活动目的、个人信息处理各环节活动涵盖的个人信息和系统范围，如收集的目的、存储个人信息的系统等。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机构提供了XX合规审计项目相关材料，在XX文件中识别了个人信息处理活动目的、个人信息处理各环节活动涵盖的个人信息和系统范围。</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65</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e)个人信息处理活动相关方识别，能够识别个人信息处理者与相关方的数据处理关系，以及个人信息处理者与相关方的授权、协议、合同等约定事项；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1、是否在指导文件中明确个人信息处理相关方的类型及概念？</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机构制定个人信息保护合规审计指南等指导文件，来指导确定个人信息处理相关方的类型及概念的方法。</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验证方法：查看机构制定的个人信息保护合规审计指南等指导文件，检查指导文件能够指导确定个人信息处理相关方的类型及概念，如类型包括自然人、共同处理者、委托处理者、个人信息控制者等。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机构制定了XX等指导文件，来指导个人信息处理相关方的类型及概念的确定方法。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66</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2、是否能准确识别个人信息处理活动相关方的关联关系、合同或授权效力等？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机构能够准确识别个人信息处理活动相关方的关联关系、合同或授权效力等。</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验证方法：查看合规审计项目案例文档，其中准确识别个人信息处理活动相关方的关联关系、合同或授权效力等，如识别出第三方委托处理活动超约定期限。</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机构提供了XX合规审计项目相关材料，在XX文件中准确识别了个人信息处理活动相关方的关联关系、合同或授权效力等。</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67</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个人信息处理活动保护措施识别和验证，能够识别已采用的网络安全、数据安全、个人信息保护措施等，包括但不限于身份鉴别、访问控制、权限管理、数据备份和恢复、数据防泄露、加密、去标识、匿名化等；能够使用检测工具对保护措施进行检测；</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具有个人信息处理活动保护措施的识别能力，能够有效评估已采用的网络安全、数据安全、个人信息保护措施的有效性等，包括但不限于身份鉴别、访问控制、权限管理、数据备份和恢复、数据防泄露、加密、去标识、匿名化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机构具有个人信息处理活动保护措施的识别能力。</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验证方法：查阅合规审计项目案例文档，其中识别出被审计对象个人信息处理活动保护措施，措施有效性判断准确。</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机构提供了XX合规审计项目相关材料，在XX文件中准确识别了个人信息处理活动保护措施，包括已采用的XX、XX等网络安全、数据安全、个人信息保护措施。</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68</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2、是否掌握检测工具使用方法，能对保护措施进行检测及验证其有效性？</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机构具有对个人信息处理活动保护措施的验证能力。</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验证方法：访谈审计人员项目案例中对保护措施检测验证的过程，及保护措施有效性的判断思路，必要时可要求演示。</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机构在XX项目中对XX的有效性进行了检测验证，证明其措施有效/无效。</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69</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g)个人信息处理活动检测，能够使用检测工具对个人信息处理者收集使用个人信息情况开展检测；</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1、是否具有个人信息处理活动相关评估、检测经验？</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机构具有对个人信息安全相关评估、检测经验。</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验证方法：查阅过往案例，应具有个人信息保护影响评估或个人信息安全检测或互联网移动应用程序检测等项目经验，查验案例中对个人信息收集使用情况识别准确。</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机构提供了XX个人信息保护检测相关项目材料，在XX文件中准确识别了收集使用个人信息情况。</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70</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2、是否有能力针对个人信息收集情况进行技术检测？</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机构能够使用检测工具对被审计对象收集使用个人信息情况开展检测。</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验证方法：访谈审计人员项目案例技术检测过程；如必要，要求机构演示对被审计对象收集使用个人信息情况开展检测的过程。</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机构具有XX工具及其使用指导文件XX，能够对被审计对象收集使用个人信息情况开展检测。</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71</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h)掌握国家标准《数据安全技术 个人信息保护合规审计要求》中个人信息保护合规审计内容的判别尺度，熟悉对应审计证据和审计方法，形成个人信息保护合规审计业务指导书。</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1、是否结合《数据安全技术 个人信息保护合规审计要求》等标准规范针对个人信息保护合规审计内容制定了内部技术规范文件，明确判断方法和尺度？</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机构结合《数据安全技术 个人信息保护合规审计要求》等标准规范针对个人信息保护合规审计内容制定了内部技术规范文件，明确判断方法和尺度。</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验证方法：查看机构制定的内部技术规范文件，其应结合相关标准规范进行细化，明确审计判断方法和尺度。</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机构结合了《数据安全技术 个人信息保护合规审计要求》、XX等标准规范针对个人信息保护合规审计内容制定了XX内部技术规范文件，其中明确了判断方法和尺度。</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72</w:t>
            </w:r>
          </w:p>
        </w:tc>
        <w:tc>
          <w:tcPr>
            <w:tcW w:w="11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2、是否制定了审计工作实施细则，规范审计过程与审计方法等？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机构制定审计工作实施细则用于规范审计过程与审计方法。</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验证方法：查看机构制定的XX审计工作实施细则，审计过程（如各环节时限）与审计方法（访谈、上机检查）得到细化。</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机构制定了XX审计工作实施细则，其中规范了审计过程与审计方法。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73</w:t>
            </w:r>
          </w:p>
        </w:tc>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4.4 人员能力</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4.4.1 人员基本要求</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专业机构的人员构成应满足以下要求：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a)合规审计人员是与专业机构签订正式合同；</w:t>
            </w:r>
          </w:p>
        </w:tc>
        <w:tc>
          <w:tcPr>
            <w:tcW w:w="13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1、是否与审计人员签订了正式劳动合同？</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机构与所有审计人员签订了正式劳动合同。</w:t>
            </w:r>
          </w:p>
        </w:tc>
        <w:tc>
          <w:tcPr>
            <w:tcW w:w="31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验证方法：查看机构与所有审计人员签订的劳动合同（复印件）或正式在编人员证明材料。</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专业机构具有XX个合规审计人员，均签署了正式劳动合同，或提供了正式在编人员证明材料。</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74</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b)有不少于15名具备个人信息保护相关工作经历的个人信息保护合规审计人员，个人信息保护合规审计人员能力要求见附录A；</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1、是否具有不少于15个合规审计人员？</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机构具有不少于15个合规审计人员。</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验证方法：查阅人员清单，对照盘点高、中、初级人员资质证书数量，须具有不少于15个合规审计人员。</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专业机构具有XX个合规审计人员，其中XX个高级合规审计人员、XX个中级合规审计人员、XX个初级合规审计人员，均具有XX资质证书。</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75</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2、合规审计人员证书是否均在有效期内？</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机构的合规审计人员资质证书在有效期内。</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验证方法：查阅审计人员资质证书，确定在有效期内。</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专业机构具有XX个合规审计人员，其中XX个高级合规审计人员、XX个中级合规审计人员、XX个初级合规审计人员，具有的XX资质证书均在有效期内。</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76</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3、是否能定期对所有级别人员能力开展自评价，重点评价技术能力和项目经历等？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机构定期对所有级别人员能力开展自评价，重点评价技术能力和项目经历等。</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验证方法：查阅对合规审计人员定期自评价的记录中包括对技术能力和项目经历进行评价的内容。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专业机构每年对合规审计人员开展能力自评价，评价内容包括技术能力和项目经历等，留存了XX等评价材料。</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77</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c)有不少于2人具备高级个人信息保护合规审计人员能力、有不少于5人具备中级个人信息保护合规审计人员能力；</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1、是否具有不少于2人具备高级个人信息保护合规审计人员能力？</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机构具有不少于2人具备高级个人信息保护合规审计人员能力。</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验证方法：查阅人员清单、人员授权文件（授权职责范围，如签发报告，方案评审）、人员资质证书等材料，确定是否具有不少于2人具备高级个人信息保护合规审计人员证书。</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专业机构具有XX个合规高级审计人员，均取得XX资质证书。</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78</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2、是否具有不少于5人具备中级个人信息保护合规审计人员能力？</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机构具有不少于5人具备中级个人信息保护合规审计人员能力。</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验证方法：查阅人员清单、（授权职责范围，如编制报告、方案评审）、人员资质证书等材料，确定具有不少于5人具备中级个人信息保护合规审计人员证书。</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专业机构具有XX个合规中级审计人员，均取得XX资质证书。</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79</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d)有专门的个人信息保护合规审计负责人，具备高级个人信息保护合规审计人员能力，全面负责本机构个人信息保护合规审计工作，并具备个人信息保护专业知识和工作经历；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1、是否具有合规审计管理组织架构及职责说明，明确各岗位各级别审计人员管理要求及职责？</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机构具有合规审计管理组织架构及职责说明，明确各岗位各级别审计人员管理要求及职责。</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验证方法：查看机构的管理组织架构、人员岗位及职责说明相关材料，明确各岗位各级别审计人员管理要求及职责。</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专业机构具有XX管理组织架构及职责说明，在XX文件中明确说明了各岗位各级别审计人员管理要求及职责。</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80</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2、是否设置了专门的个人信息保护合规审计负责人，合规审计负责人是否具备高级个人信息保护合规审计人员能力？</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机构设置专门的个人信息保护合规审计负责人，具备正式任命、职责说明和高级个人信息保护合规审计人员能力。</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验证方法：查验机构具有个人信息合规审计负责人的任命及职责说明等正式文件。</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专业机构设置了专门的个人信息保护合规审计负责人为XX，具有XX任命，职责为XX。</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81</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3、个人信息保护合规审计负责人是否可以独立履职并具有管理者经验？</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机构设置的个人信息保护合规审计负责人可以独立履职，协调业务资源并具有相关专业工作的管理经验。</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验证方法：查阅机构个人信息保护合规审计负责人的工作履历，访谈该负责人了解独立履职情况及其管理者经验。</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专业机构设置的个人信息保护合规审计负责人XX，任XX职位，可以独立履职，具有XX年的管理者经验。</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82</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e)对合规审计人员进行背景审查，审查结果长期留存并可供认证认可相关机构查看。</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1、审计人员入职前是否开展过背景调查（可包括无犯罪、尽职调查、征信等）？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对审计人员须开展背景调查。</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验证方法：查阅审计人员入职时的背景调查材料，包括无犯罪记录证明、尽职调查、征信报告中的一种或多种。</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专业机构制定了XX人力管理制度，明确要求在审计人员入职前开展过背景调查（可包括无犯罪、尽职调查、征信等），留存了XX等报告记录。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83</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2、审计人员是否未触发过网络安全、个人信息保护、社会学攻击相关事件调查？</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合规审计人员不得触发过网络安全、个人信息保护、社会学攻击相关事件调查。</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验证方法：访谈人事管理部门，询问合规审计人员是否触发过网络安全、个人信息保护、数据安全、社会学攻击相关事件调查，要求出具机构人员声明。</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专业机构的XX个合规审计人员，均未触发过网络安全、数据安全、个人信息保护、社会学攻击相关事件调查，具有机构自我声明。</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84</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3、人员协议有效期间，是否能留存并查看调查记录？</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审计人员的劳动协议、保密协议等有效期间留存，记录可调阅。</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验证方法：调阅与审计人员签订的劳动合同、保密协议等相关工作协议，均要正式签署且在有效期内。</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专业机构制定了XX人力管理制度，明确要求在审计人员劳动协议等文件有效期间留存，通过XX流程可以合理调阅了XX的人员协议。</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85</w:t>
            </w:r>
          </w:p>
        </w:tc>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4.5场所与设备资源能力</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4.5.1场所和环境</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专业机构自身场所和环境应具备以下要求：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a)具有固定的办公场所，合规审计工作场地环境安全、功能布局等符合质量管理的相关规定，并配有必要的防火防盗、访问控制、视频监控进入等安全措施；</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1、机构是否具有固定的办公场所？</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机构具有固定的办公场所。</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验证方法：现场查看机构的办公场地，查验办公场地的购买/租赁协议等相关证明材料。</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专业机构具有固定办公场地，位置是XX，提供了XX购买/租赁协议等相关证明材料。</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86</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2、办公场地是否能保证环境安全，功能布局符合质量管理规定，如材料抗震等级、消防安全证明等？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机构办公场地能保证环境安全，功能布局符合质量管理规定，材料抗震等级合格消防安全。</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验证方法：查阅机构提供的场所建筑抗震等级证明材料、消防验收证明材料，能保证环境安全；查看场所功能布局符合质量管理规定（如未放置办公无关的大功率电器等）。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专业机构通过XX等措施保证办公场地的环境安全，分为XX、XX等区域，功能布局合理；具备建筑抗震等级、消防等方面的XX、XX等证明材料（企业提供消防维保报告）。</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87</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3、办公环境是否配备了灭火装置，是否在具有进出访问控制措施？</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机构办公场地配备了有效的灭火装置和进出访问控制措施。</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验证方法：查看机构的办公环境灭火装置年检时间在有效期内、进出访问控制措施（如门禁识别、登记卡、专人陪同等机制有效运行。</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专业机构配备了XX灭火装置，灭火器年检，目前在有效期范围内，通过XX方式进行进出访问控制。</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88</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b)合规审计方法或设备对环境条件有要求的，应确保环境条件满足业务开展要求。</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1、是否能保证审计工具或设备的存放条件满足设备正常运转需要？</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机构保证审计工具或设备的存放条件满足设备正常运转需要。</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验证方法：现场查看机构工具或设备的存放环境，查验设备能否正常开机运行。</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设备和工具存放在XX，配备了XX防护措施，存放条件能满足设备正常运转的需要。</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89</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2、是否能保证审计工具或设备得到物理防护，禁止未授权的使用？</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机构保证审计工具或设备得到物理防护，禁止未授权的使用。</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验证方法：现场查看机构审计工具或设备的物理防护措施（如上锁设备柜）有效、工具授权使用情况留有记录。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专业机构通过XX措施保证审计工具或设备得到物理防护，防止未授权的使用，留存了XX授权使用记录。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90</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4.5.2设备和设施</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专业机构开展个人信息保护合规审计的设备、设施、工具应具备以下要求：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a)具备必要的软、硬件设备，满足技术培训、试验检测和模拟测试的需要；</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1、是否针对审计活动中的技术检测需求配备了设备资源？</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机构须配备能够满足审计活动中的技术检测要求的各类基础设备资源。</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验证方法：查看机构为审计活动配备的设备和工具资源，至少包括APP检测工具、流量抓包工具和数据库扫描工具等。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机构配备了能够满足审计活动中的技术检测的设备资源，如XXX、XXX等。</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91</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2、软/硬件设备是否能满足技术培训、审计验证和模拟测试的需要？</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机构配备的软/硬件设备满足技术培训、审计验证和模拟测试的需要。</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验证方法：查看机构配备的软/硬件设备清单及演示实物，能满足技术培训、审计验证和模拟测试的需要。</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专业机构配备了XX、XX等软/硬件设备，能够满足技术培训、审计验证和模拟测试的需要。</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92</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b)配备满足个人信息保护合规审计工作需要的合规审计设备和工具；</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1、是否配备了数量能够满足机构审计工作需要的设备和工具？</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针对审计活动中的技术检测需求配备了设备和工具资源。</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验证方法：查看机构的审计设备和工具，机构须为实现方案中检测活动安排配备满足要求的设备和工具资源。</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专业机构针对配备了XX、XX等设备和工具资源，能够满足审计活动中的技术检测需求。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93</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2、设备和工具的知识库版本是否为最新？</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机构配备的设备和工具知识库为最新。</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验证方法：查看机构配备的设备和工具的知识库版本，查看设备和工具的官网信息，其知识库版本应为官方的最新版本。</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专业机构配备XX、XX等设备，知识库均为最新版本。</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94</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c)应加强安全防护，具备审计过程和记录防篡改功能；</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1、合规审计活动中使用的设备和工具是否通过了产品安全认证或检测，如涉及自研设备和工具的是否具有测试报告？</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机构在合规审计活动中使用的设备和工具通过了产品安全认证或检测，如涉及自研设备和工具须具有证明的第三方报告或证书。</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验证方法：查看机构为审计活动配备的设备和工具资源清单，以及提供的认证证书、检测报告、自研工具测试报告（第三方）等材料，核验合规审计活动配备的设备和工具均经过认证或测试。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专业机构配备的合规审计设备和工具通过了产品安全认证/检测，提供了XX认证证书/检测报告，对于自研的设备和工具，开展了XX测试，提供了XX工具的第三方XX测试报告。</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95</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2、合规审计设备和工具是否具有审计过程和记录防止纂改的功能或可通过日志记录追溯等？</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合规审计设备和工具须具有记录防篡改或日志追溯功能。</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验证方法：要求演示机构配备的合规审计设备和工具的记录防篡改功能或操作记录的日志追溯功能。</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专业机构通过XX工具设备的XX功能防止审计过程和记录被篡改。</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d)合规审计设备和工具在投入使用前需要对其安全性和可用性进行验证确认，在使用期间定期核查、持续更新，确保工具的合法版权且授权在有效期内，运行状态良好，关注工具及其组件的安全漏洞公告和相关信息，及时更新维护；</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1、审计人员是否能在审计设备和工具投入使用前进行安全验证确认？</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合规审计人员在使用设备和工具前，对工具安全运行进行确认的记录。</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验证方法：查验合规审计人员在使用设备和工具前，对工具运行的安全性进行确认的记录。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合规审计人员在使用设备和工具前，对工具进行安全验证确认，留存了XX记录。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97</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2、审计人员是否在使用前进行审计工具版本更新确认？</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合规审计人员须使用当前最新版本组织的设备和工具。</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验证方法：查验合规审计人员在使用设备和工具前，对工具进行版本更新确认的相关记录。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合规审计人员在使用设备和工具前，对工具进行版本更新确认，留存了XX记录。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98</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3、是否保证工具具有合法版权且授权在有效期内？</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工具具有合法版权且授权在有效期内。</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验证方法：查验机构采购的工具为正版工具，查看采购工具的协议文件，确认工具授权在有效期内。</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机构提供了采购XX、XX等工具的协议，工具均具有合法版权且授权在有效期内。</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99</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4、是否有专人对工具及其组件的安全漏洞进行管理，做到及时更新维护，留存维护记录？</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对工具及其组件的安全漏洞进行有效管理，能够做到及时更新维护并留存维护记录。</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验证方法：查看机构的工具管理制度，其中明确专人对工具及其组件的安全漏洞进行管理；查验定期的工具组件更新维护记录。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专业机构由XX负责对工具及其组件的安全漏洞进行管理，根据XX要求及时更新维护，留存了XX更新维护记录。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e)在合规审计活动结束、完成归档后，对合规审计设备和工具产生的个人信息保护合规审计活动相关的日志、记录进行清除；</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1、是否能在归档完成后规定时间内进行审计设备和工具的日志清除操作？</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1）归档完成后进行记录清除的规定时间明确；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2）合规审计人员在归档完成后规定时间内进行审计设备和工具的日志清除操作。</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1）验证方法：查看XX管理制度，说明了归档完成后XX时间内进行审计设备和工具日志记录清除的要求；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2）验证方法：查看清除记录能够满足管理制度中规定的时间要求。</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合规审计人员按照XX管理制度的要求，在归档完成后XX时间内进行审计设备和工具的日志清除操作，留存了XX记录。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101</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具有设备和工具管理制度，对设备档案和标识管理，以及故障设备和工具管理有明确要求。对合规审计设备和工具统一登记、统一标识，标识完整、摆放合理，具有配套防护措施，对于有故障的设备和工具进行区分，并采取有效措施防止继续使用；</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1、是否建立了设备和工具管理制度，明确设备档案、标识管理、故障管理等系列要求？</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机构建立设备和工具管理制度文档，其中须包括设备档案、标识管理、故障管理等要求。</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验证方法：查验机构制定的设备和工具管理制度中明确设备档案、标识管理、故障管理等要求。</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机构建立了XX设备和工具管理制度，其中明确了设备档案、标识管理、故障管理等要求。</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102</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2、是否对合规审计设备和工具统一登记、统一标识,并能区分故障设备和工具?</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机构对合规审计设备和工具统一登记、统一标识,可区分正常和故障设备工具状态。</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验证方法：查看设备和工具登记清单，现场查看标签,能够明显区分故障设备和工具。</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机构将设备和工具统一登记在XX清单中，以纸标签方式进行统一标识,可区分故障设备和工具。</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103</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3、设备和工具摆放是否合理，对精密度要求高的设备和工具是否配套单独的防护措施？</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1）机构对设备和工具的摆放合理；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2）对精密度要求高的设备和工具配套单独的防护措施（如有）。</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1）验证方法：现场查看设备和工具的摆放位置和方式，访谈工具用途，判断其摆放是否满足工具使用的要求、摆放位置是否合理；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2）验证方法：查看是否有高精密度设备，如有须配备单独防护措施，包括电磁屏蔽柜、温湿度调节装置等。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机构将设备和工具摆放在XX位置，满足工具使用要求，摆放位置合理，对XX等精密度要求高的设备和工具配套了单独的防护措施，通过XX方式进行加强保护。</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104</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g)设备具有完整的工作维护规程、设备使用说明书、校准或确认报告使用记录、定期维修核查制度和记录，存放地点及保管人等信息规范完整；</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1、是否留有设备维护使用手册等指引文件，是否对设备定期检查维护？</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机构留存设备维护使用手册等指引文件，对设备定期检查或维护的记录。</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验证方法：现场查看设备和工具的设备维护使用手册等指引文件、定期检查维护的记录等证明材料。</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机构留存了XX、XX设备维护使用手册等指引文件，每XX月对设备进行检查维护，留存了XX检查维护记录。</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50" w:type="dxa"/>
          <w:trHeight w:val="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105</w:t>
            </w: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b/>
                <w:bCs/>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heme="minorEastAsia" w:hAnsiTheme="minorEastAsia" w:eastAsiaTheme="minorEastAsia" w:cstheme="minorEastAsia"/>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2、是否能将维护规程记录妥善保管，记录完整、规范？</w:t>
            </w:r>
          </w:p>
        </w:tc>
        <w:tc>
          <w:tcPr>
            <w:tcW w:w="1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机构维护规程记录妥善保管便于追溯，记录内容完整、规范。</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验证方法：现场查看设备的维护规程记录，得到专人或统一处妥善保管，记录内容完整、规范。</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机构将维护规程记录保管在XX/由XX保管，记录内容完整、规范。</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18"/>
                <w:szCs w:val="18"/>
                <w:u w:val="none"/>
              </w:rPr>
            </w:pPr>
          </w:p>
        </w:tc>
      </w:tr>
    </w:tbl>
    <w:p>
      <w:pPr>
        <w:pStyle w:val="8"/>
        <w:rPr>
          <w:b/>
          <w:bCs/>
        </w:rPr>
      </w:pPr>
      <w:r>
        <w:rPr>
          <w:b/>
          <w:bCs/>
        </w:rPr>
        <w:br w:type="textWrapping" w:clear="all"/>
      </w:r>
    </w:p>
    <w:p>
      <w:pPr>
        <w:pStyle w:val="3"/>
        <w:numPr>
          <w:ilvl w:val="1"/>
          <w:numId w:val="0"/>
        </w:numPr>
        <w:spacing w:before="0" w:after="0"/>
        <w:ind w:leftChars="0"/>
      </w:pPr>
      <w:r>
        <w:rPr>
          <w:rFonts w:hint="eastAsia"/>
          <w:lang w:val="en-US" w:eastAsia="zh-CN"/>
        </w:rPr>
        <w:t>2</w:t>
      </w:r>
      <w:r>
        <w:rPr>
          <w:rFonts w:hint="eastAsia"/>
        </w:rPr>
        <w:t>服务过程评价</w:t>
      </w:r>
      <w:r>
        <w:rPr>
          <w:rFonts w:hint="eastAsia" w:ascii="Arial" w:hAnsi="Arial" w:eastAsia="宋体" w:cs="Times New Roman"/>
          <w:b/>
          <w:bCs/>
          <w:sz w:val="28"/>
          <w:szCs w:val="32"/>
        </w:rPr>
        <w:t>GB/T 46903-2025</w:t>
      </w:r>
      <w:r>
        <w:rPr>
          <w:rFonts w:hint="eastAsia" w:ascii="Arial" w:hAnsi="Arial" w:eastAsia="宋体" w:cs="Times New Roman"/>
          <w:b/>
          <w:bCs/>
          <w:sz w:val="28"/>
          <w:szCs w:val="32"/>
          <w:lang w:val="en-US" w:eastAsia="zh-CN"/>
        </w:rPr>
        <w:t>《</w:t>
      </w:r>
      <w:r>
        <w:rPr>
          <w:rFonts w:hint="eastAsia" w:ascii="Arial" w:hAnsi="Arial" w:eastAsia="宋体" w:cs="Times New Roman"/>
          <w:b/>
          <w:bCs/>
          <w:sz w:val="28"/>
          <w:szCs w:val="32"/>
        </w:rPr>
        <w:t>数据安全技术</w:t>
      </w:r>
      <w:r>
        <w:rPr>
          <w:rFonts w:hint="eastAsia" w:ascii="Arial" w:hAnsi="Arial" w:eastAsia="宋体" w:cs="Times New Roman"/>
          <w:b/>
          <w:bCs/>
          <w:sz w:val="28"/>
          <w:szCs w:val="32"/>
          <w:lang w:val="en-US" w:eastAsia="zh-CN"/>
        </w:rPr>
        <w:t>--</w:t>
      </w:r>
      <w:r>
        <w:rPr>
          <w:rFonts w:hint="eastAsia" w:ascii="Arial" w:hAnsi="Arial" w:eastAsia="宋体" w:cs="Times New Roman"/>
          <w:b/>
          <w:bCs/>
          <w:sz w:val="28"/>
          <w:szCs w:val="32"/>
        </w:rPr>
        <w:t>个人信息保护合规审计要求</w:t>
      </w:r>
      <w:r>
        <w:rPr>
          <w:rFonts w:hint="eastAsia" w:ascii="Arial" w:hAnsi="Arial" w:eastAsia="宋体" w:cs="Times New Roman"/>
          <w:b/>
          <w:bCs/>
          <w:sz w:val="28"/>
          <w:szCs w:val="32"/>
          <w:lang w:val="en-US" w:eastAsia="zh-CN"/>
        </w:rPr>
        <w:t>》</w:t>
      </w:r>
    </w:p>
    <w:p>
      <w:pPr>
        <w:pStyle w:val="8"/>
        <w:rPr>
          <w:b/>
          <w:bCs/>
        </w:rPr>
      </w:pPr>
    </w:p>
    <w:tbl>
      <w:tblPr>
        <w:tblStyle w:val="18"/>
        <w:tblW w:w="149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9"/>
        <w:gridCol w:w="573"/>
        <w:gridCol w:w="811"/>
        <w:gridCol w:w="1338"/>
        <w:gridCol w:w="2100"/>
        <w:gridCol w:w="1450"/>
        <w:gridCol w:w="2517"/>
        <w:gridCol w:w="2350"/>
        <w:gridCol w:w="2217"/>
        <w:gridCol w:w="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722" w:type="dxa"/>
            <w:gridSpan w:val="3"/>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标准条款</w:t>
            </w:r>
          </w:p>
        </w:tc>
        <w:tc>
          <w:tcPr>
            <w:tcW w:w="2100"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评价指标</w:t>
            </w:r>
          </w:p>
        </w:tc>
        <w:tc>
          <w:tcPr>
            <w:tcW w:w="1450"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评价要点</w:t>
            </w:r>
          </w:p>
        </w:tc>
        <w:tc>
          <w:tcPr>
            <w:tcW w:w="2517"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验证方法</w:t>
            </w:r>
          </w:p>
        </w:tc>
        <w:tc>
          <w:tcPr>
            <w:tcW w:w="2350"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证据示例</w:t>
            </w:r>
          </w:p>
        </w:tc>
        <w:tc>
          <w:tcPr>
            <w:tcW w:w="2217"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证据描述</w:t>
            </w:r>
          </w:p>
        </w:tc>
        <w:tc>
          <w:tcPr>
            <w:tcW w:w="822" w:type="dxa"/>
            <w:tcBorders>
              <w:top w:val="single" w:color="000000" w:sz="4" w:space="0"/>
              <w:left w:val="single" w:color="000000" w:sz="4" w:space="0"/>
              <w:bottom w:val="single" w:color="000000" w:sz="4" w:space="0"/>
              <w:right w:val="single" w:color="000000" w:sz="4" w:space="0"/>
            </w:tcBorders>
            <w:shd w:val="clear" w:color="auto" w:fill="AEAAAA"/>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18"/>
                <w:szCs w:val="18"/>
                <w:u w:val="none"/>
                <w:lang w:val="en-US" w:eastAsia="zh-CN" w:bidi="ar"/>
              </w:rPr>
              <w:t>自评</w:t>
            </w:r>
            <w:r>
              <w:rPr>
                <w:rFonts w:hint="eastAsia" w:ascii="宋体" w:hAnsi="宋体" w:eastAsia="宋体" w:cs="宋体"/>
                <w:b/>
                <w:bCs/>
                <w:i w:val="0"/>
                <w:iCs w:val="0"/>
                <w:color w:val="000000"/>
                <w:kern w:val="0"/>
                <w:sz w:val="18"/>
                <w:szCs w:val="18"/>
                <w:u w:val="none"/>
                <w:lang w:val="en-US" w:eastAsia="zh-CN" w:bidi="ar"/>
              </w:rPr>
              <w:t>结果（符合</w:t>
            </w:r>
            <w:r>
              <w:rPr>
                <w:rFonts w:hint="default" w:ascii="宋体" w:hAnsi="Times New Roman" w:eastAsia="宋体" w:cs="Times New Roman"/>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不符合</w:t>
            </w:r>
            <w:r>
              <w:rPr>
                <w:rFonts w:hint="default" w:ascii="宋体" w:hAnsi="Times New Roman" w:eastAsia="宋体" w:cs="Times New Roman"/>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w:t>
            </w: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5.1</w:t>
            </w:r>
            <w:r>
              <w:rPr>
                <w:rFonts w:hint="eastAsia" w:ascii="宋体" w:hAnsi="宋体" w:eastAsia="宋体" w:cs="宋体"/>
                <w:i w:val="0"/>
                <w:iCs w:val="0"/>
                <w:color w:val="000000"/>
                <w:kern w:val="0"/>
                <w:sz w:val="18"/>
                <w:szCs w:val="18"/>
                <w:u w:val="none"/>
                <w:lang w:val="en-US" w:eastAsia="zh-CN" w:bidi="ar"/>
              </w:rPr>
              <w:t>概述</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个人信息保护合规审计实施流程包含审计准备、审计实施、审计报告、问题整改、归档管理</w:t>
            </w:r>
            <w:r>
              <w:rPr>
                <w:rFonts w:hint="default" w:ascii="宋体" w:hAnsi="Times New Roman" w:eastAsia="宋体" w:cs="Times New Roman"/>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个阶段。</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、是否明确建立并执行覆盖</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审计准备、实施、报告、问题整改、归档管理</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全阶段的个人信息保护合规审计流程？</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流程是否完整覆盖五个阶段。</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1、查阅机构个人信息保护合规审计管理制度（对应TC260-PG-20254A 4.2.1），确认其是否明确规定审计全流程（准备、实施、报告、整改、归档）及阶段衔接要求；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2、抽查已完成项目档案，检查其是否包含五个阶段的完整记录，验证制度执行情况。</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查阅了个人信息保护合规审计管理制度（版本号V2.1，发布日期2024年3月1日），确认其第3章“审计流程”明确规定审计过程涵盖准备、实施、报告、问题整改与归档管理五个阶段，制度已由负责人李某批准发布。</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w:t>
            </w:r>
          </w:p>
        </w:tc>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5.2</w:t>
            </w:r>
            <w:r>
              <w:rPr>
                <w:rFonts w:hint="eastAsia" w:ascii="宋体" w:hAnsi="宋体" w:eastAsia="宋体" w:cs="宋体"/>
                <w:i w:val="0"/>
                <w:iCs w:val="0"/>
                <w:color w:val="000000"/>
                <w:kern w:val="0"/>
                <w:sz w:val="18"/>
                <w:szCs w:val="18"/>
                <w:u w:val="none"/>
                <w:lang w:val="en-US" w:eastAsia="zh-CN" w:bidi="ar"/>
              </w:rPr>
              <w:t>审计准备阶段</w:t>
            </w:r>
            <w:r>
              <w:rPr>
                <w:rFonts w:hint="default" w:ascii="宋体" w:hAnsi="Times New Roman" w:eastAsia="宋体" w:cs="Times New Roman"/>
                <w:i w:val="0"/>
                <w:iCs w:val="0"/>
                <w:color w:val="000000"/>
                <w:kern w:val="0"/>
                <w:sz w:val="18"/>
                <w:szCs w:val="18"/>
                <w:u w:val="none"/>
                <w:lang w:val="en-US" w:eastAsia="zh-CN" w:bidi="ar"/>
              </w:rPr>
              <w:t xml:space="preserve"> </w:t>
            </w: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5.2.1</w:t>
            </w:r>
            <w:r>
              <w:rPr>
                <w:rFonts w:hint="eastAsia" w:ascii="宋体" w:hAnsi="宋体" w:eastAsia="宋体" w:cs="宋体"/>
                <w:i w:val="0"/>
                <w:iCs w:val="0"/>
                <w:color w:val="000000"/>
                <w:kern w:val="0"/>
                <w:sz w:val="18"/>
                <w:szCs w:val="18"/>
                <w:u w:val="none"/>
                <w:lang w:val="en-US" w:eastAsia="zh-CN" w:bidi="ar"/>
              </w:rPr>
              <w:t>确定审计范围和依据</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个人信息处理者应由个人信息处理者内部机构或者委托专业机构根据审计目标、审计对象基本情况合理确定审计范围，开展个人信息保护合规审计（见第六章）。</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、是否依据《个人信息保护法》、《个人信息保护合规审计管理办法》及其附件《个人信息保护合规审计指引》等确定审计范围，明确目标、对象、法规依据的匹配方法？</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审计范围是否依法依规确定。</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1、查阅机构法律法规标准清单（对应TC260-PG-20254A 4.3.a）是否包含《个人信息保护法》、《个人信息保护合规审计管理办法》及其附件《个人信息保护合规审计指引》等，并查阅审计方案中的引用准确性；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2、查阅审计方案评审记录（对应TC260-PG-20254A 4.2.1.j），确认是否评审了法规依据的匹配性；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要求审计人员现场解释或书面说明所引用的《个人信息保护法》《个人信息保护合规审计管理办法》及其附件《个人信息保护合规审计指引》等关键条款的立法意图、适用场景及常见违规情形，验证其对法律法规的深层理解。（对应TC260-PG-20254A 4.3.a）</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样项目名称：**电商公司个人信息保护合规审计项目查阅了审计方案（编号：2025-01，编制日期2025年1月10日），确认其第2章“审计依据”已列明《个人信息保护法》（2021年版本）、《个人信息保护合规审计管理办法》及其附件《个人信息保护合规审计指引》（2024年试行版）等法规名称，并引用具体条款如《个人信息保护法》第13、14条。</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、审计范围是否覆盖个人信息处理的全生命周期、字段类型、组织结构与人员管理、技术与管理措施、用户权益保障和特殊场景等方面要求。其中特殊场景：</w:t>
            </w:r>
            <w:r>
              <w:rPr>
                <w:rStyle w:val="70"/>
                <w:rFonts w:hint="eastAsia" w:ascii="宋体" w:hAnsi="宋体" w:eastAsia="宋体" w:cs="宋体"/>
                <w:sz w:val="18"/>
                <w:szCs w:val="18"/>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①关键场景（如数据跨境传输、敏感信息处理）</w:t>
            </w:r>
            <w:r>
              <w:rPr>
                <w:rStyle w:val="70"/>
                <w:rFonts w:hint="eastAsia" w:ascii="宋体" w:hAnsi="宋体" w:eastAsia="宋体" w:cs="宋体"/>
                <w:sz w:val="18"/>
                <w:szCs w:val="18"/>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②高风险业务（如自动化决策、第三方数据共享）</w:t>
            </w:r>
            <w:r>
              <w:rPr>
                <w:rStyle w:val="70"/>
                <w:rFonts w:hint="eastAsia" w:ascii="宋体" w:hAnsi="宋体" w:eastAsia="宋体" w:cs="宋体"/>
                <w:sz w:val="18"/>
                <w:szCs w:val="18"/>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③历史问题领域（近三年安全事件、整改情况）</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范围是否覆盖全生命周期与高风险场景。</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1、检查机构审计范围识别指南（对应TC260-PG-20254A 4.3.b）是否覆盖全生命周期及高风险场景；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2、查阅审计方案中“审计范围”章节，核对是否包含标准要求的所有方面。</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编号：2025-01）第3章“审计范围”，确认其明确覆盖个人信息收集、存储、使用、删除等全生命周期活动，并列举数据跨境（场景编号S001）、自动化决策（S002）、第三方共享（S003）等高风险场景，同时引用近三年安全事件台账（事件编号INC2023-001）。</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、审计依据是否覆盖个人信息保护相关法律法规、国家标准，以及审计对象制定的个人信息处理规则、签订的个人信息保护相关协议、合同等？</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审计依据是否基于个人信息保护相关法律法规、国家标准，以及审计对象制定的个人信息处理规则、签订的个人信息保护相关协议、合同等。</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1、检查审计底稿中的文件调阅清单（对应TC260-PG-20254A 4.3.a），确认是否包含个人信息保护相关法律法规、国家标准，以及审计对象制定的个人信息处理规则、签订的个人信息保护相关协议、合同等；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2、查阅文件调阅记录，验证文件有效性（如签署日期、版本）。</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查阅了审计底稿中的审计依据包含个人信息保护相关法律法规、国家标准，以及审计对象制定的个人信息处理规则、签订的个人信息保护相关协议、合同等，调阅人王某，文件保存路径：\svr-audit\2025\。</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、是否动态更新审计依据（如：法律变更跟踪清单）</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审计依据是否及时更新。</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1、检查机构法律法规变更跟踪机制（对应TC260-PG-20254A 4.3.a）的更新记录（如最近6个月）；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2、抽查审计方案中的法规依据，核对是否为最新有效版本。</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查阅了法律法规跟踪管理规范（文件编号：GL-008，发布日期2023年6月）及附带的法律变更跟踪清单（清单编号LGL-2025，最近更新日期2025年1月15日），确认清单包含《个人信息保护法》及相关国标，更新人赵六。</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5</w:t>
            </w:r>
            <w:r>
              <w:rPr>
                <w:rFonts w:hint="eastAsia" w:ascii="宋体" w:hAnsi="宋体" w:eastAsia="宋体" w:cs="宋体"/>
                <w:i w:val="0"/>
                <w:iCs w:val="0"/>
                <w:color w:val="000000"/>
                <w:kern w:val="0"/>
                <w:sz w:val="18"/>
                <w:szCs w:val="18"/>
                <w:u w:val="none"/>
                <w:lang w:val="en-US" w:eastAsia="zh-CN" w:bidi="ar"/>
              </w:rPr>
              <w:t>、是否记录范围调整的审批流程？</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范围调整是否经过审批。</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1、检查机构变更管理制度（对应TC260-PG-20254A 4.2.1.h）是否规定范围调整的审批流程；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2、查阅审计范围变更记录（如有），确认是否有正式审批。</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查阅了审计范围变更审批表（编号：FG-2025-01，申请日期2025年2月20日），确认范围因新增“人脸识别场景”而调整，已由审计组长张某、合规负责人李某审批通过，审批意见及日期记录完整。</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5.2.2</w:t>
            </w:r>
            <w:r>
              <w:rPr>
                <w:rFonts w:hint="eastAsia" w:ascii="宋体" w:hAnsi="宋体" w:eastAsia="宋体" w:cs="宋体"/>
                <w:i w:val="0"/>
                <w:iCs w:val="0"/>
                <w:color w:val="000000"/>
                <w:kern w:val="0"/>
                <w:sz w:val="18"/>
                <w:szCs w:val="18"/>
                <w:u w:val="none"/>
                <w:lang w:val="en-US" w:eastAsia="zh-CN" w:bidi="ar"/>
              </w:rPr>
              <w:t>建立审计组</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信息处理者内部机构或者委托的专业机构应综合考虑组织规模，业务种类，个人信息数量、种类、敏感程度，涉及系统的复杂程度等因素，组建审计组、任命审计组长、选派合格胜任的审计人员、组织审前培训。</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、是否根据组织规模、业务类型、个人信息敏感度及系统复杂度等要素，合理组建审计组并任命审计组长？</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审计组组建是否合理。</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1、查阅机构审计组组建标准（对应TC260-PG-20254A 4.4），确认其是否规定根据项目复杂度配置人员；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2、抽查审计组人员名单及背景说明，验证与项目需求的匹配性。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组成员名单及背景说明（文件编号：TM-2025-01，编制日期2025年1月8日），确认审计组由5人组成，涵盖法务、安全、IT审计背景，组长张某（工号10086）具备资质，组员配置考虑了“电商业务”及“敏感个人信息处理”复杂度。</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、是否选派具备个人信息保护法规知识、技术能力或审计经验的合格人员？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审计人员是否具备相应资质。</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1、检查审计人员资质证书（对应TC260-PG-20254A 4.4.1.a）如“</w:t>
            </w:r>
            <w:r>
              <w:rPr>
                <w:rFonts w:hint="eastAsia" w:ascii="宋体" w:hAnsi="宋体" w:eastAsia="宋体" w:cs="宋体"/>
                <w:i w:val="0"/>
                <w:iCs w:val="0"/>
                <w:color w:val="FF0000"/>
                <w:kern w:val="0"/>
                <w:sz w:val="18"/>
                <w:szCs w:val="18"/>
                <w:u w:val="none"/>
                <w:lang w:val="en-US" w:eastAsia="zh-CN" w:bidi="ar"/>
              </w:rPr>
              <w:t>网安协会个人信息保护合规审计人员能力评价证书</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2、查阅人员能力评价记录（对应TC260-PG-20254A 4.4），确认具备所需专业知识。</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查阅了审计组成员资质档案（存档路径：HR\资质\2025），确认张某持有证书，证书编号（***），李某持有证书编号（***），王某（证书编号***）。</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、是否开展审前培训并留存培训记录（如法规解读、系统操作、风险案例）？</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是否开展审前培训。</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1、检查机构培训管理制度（对应TC260-PG-20254A 4.2.1.h）及本次审计的审前培训记录；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2、查阅培训材料、签到表，确认培训内容覆盖法规解读、风险案例等。</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前培训计划（编号：***，制定日期2025.1.5）及培训签到表（日期2025.1.20），确认培训内容涵盖《个人信息保护法》解读、审计系统操作、典型风险案例，参会人员张某、李某等5人全部签到，培训材料存档于\SVN\training\。</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10</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审计组长应负责统筹配置和管理审计资源，安排审计工作分工，组织编制和审核审计方案，审核审计底稿和审计证据，组织完成审计结论，组织编制和审核审计报告。</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、是否有效统筹审计资源并合理分工，确保与审计方案目标一致？</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资源分配是否合理。</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1、查阅审计分工表或任务分配记录，验证审计组长是否明确各成员职责；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2、对照审计方案目标，检查资源分配是否合理（对应TC260-PG-20254A 4.2.1.c）。</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查阅了审计任务分工表（编号：###，制定日期2025.1.12），确认审计组长张某已将“数据跨境”、“自动化决策”等审计任务分配给李某、王某等成员，任务项与审计方案目标一致，分工表经张某审批。</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11</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、是否严格审核审计方案、底稿、证据及报告，且结论逻辑基于充分证据与团队共识？</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审核机制是否严格有效。</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1、检查审计方案、底稿、报告等文件的审核签字/批注记录（对应TC260-PG-20254A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2、查阅审核管理制度，确认审核要求是否涵盖逻辑一致性、证据充分性。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编号###）审核页，确认已于2025.1.15由审计组长张某、合规负责人李某签字批准；审计底稿（编号DG-001至020）由复核人王某于2025.2.25完成复核签字；审计报告（草案）于2025.3.5经审核人张某批注“同意，证据充分”。</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12</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组织内部设置有专职个人信息保护合规审计团队的，应从审计团队中选派相关审计人员，必要时，在保持独立原则的前提下可从具有个人信息保护专业能力的团队中选派人员参与审计；</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t>组织内未设置专职个人信息保护合规审计团队的，应在保持独立原则的前提下，从具有审计或个人信息保护相关专业能力的内审团队、安全团队、法务团队等团队中选派人员，来自各团队的人员比例应保持在合理范围内，并由审计组长审批人员名单；</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14</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委托专业机构进行个人信息保护合规审计的，应由专业机构组建审计组，必要时，在保持独立原则的前提下，组织内部的内审团队、安全团队、法务团队等具有审计或个人信息保护相关专业能力的人员可以参与审计并提供支持。</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5.2.3</w:t>
            </w:r>
            <w:r>
              <w:rPr>
                <w:rFonts w:hint="eastAsia" w:ascii="宋体" w:hAnsi="宋体" w:eastAsia="宋体" w:cs="宋体"/>
                <w:i w:val="0"/>
                <w:iCs w:val="0"/>
                <w:color w:val="000000"/>
                <w:kern w:val="0"/>
                <w:sz w:val="18"/>
                <w:szCs w:val="18"/>
                <w:u w:val="none"/>
                <w:lang w:val="en-US" w:eastAsia="zh-CN" w:bidi="ar"/>
              </w:rPr>
              <w:t>开展审前调查</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在正式实施审计前，审计组应综合运用调查表格、查询数据、调阅资料、访谈人员等方式，充分调查了解审计对象的个人信息保护情况，包括但不限于：</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个人信息处理者的组织架构、个人信息保护负责人、个人信息保护管理部门等；</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t>个人信息处理者涉及个人信息处理的场景和活动，个人信息处理活动包括以下内容：</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 xml:space="preserve">  1)</w:t>
            </w:r>
            <w:r>
              <w:rPr>
                <w:rFonts w:hint="eastAsia" w:ascii="宋体" w:hAnsi="宋体" w:eastAsia="宋体" w:cs="宋体"/>
                <w:i w:val="0"/>
                <w:iCs w:val="0"/>
                <w:color w:val="000000"/>
                <w:kern w:val="0"/>
                <w:sz w:val="18"/>
                <w:szCs w:val="18"/>
                <w:u w:val="none"/>
                <w:lang w:val="en-US" w:eastAsia="zh-CN" w:bidi="ar"/>
              </w:rPr>
              <w:t>处理个人信息的类别、数量、敏感程度；</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 xml:space="preserve">  2)</w:t>
            </w:r>
            <w:r>
              <w:rPr>
                <w:rFonts w:hint="eastAsia" w:ascii="宋体" w:hAnsi="宋体" w:eastAsia="宋体" w:cs="宋体"/>
                <w:i w:val="0"/>
                <w:iCs w:val="0"/>
                <w:color w:val="000000"/>
                <w:kern w:val="0"/>
                <w:sz w:val="18"/>
                <w:szCs w:val="18"/>
                <w:u w:val="none"/>
                <w:lang w:val="en-US" w:eastAsia="zh-CN" w:bidi="ar"/>
              </w:rPr>
              <w:t>处理个人信息的目的、方式、范围；</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 xml:space="preserve">  3)</w:t>
            </w:r>
            <w:r>
              <w:rPr>
                <w:rFonts w:hint="eastAsia" w:ascii="宋体" w:hAnsi="宋体" w:eastAsia="宋体" w:cs="宋体"/>
                <w:i w:val="0"/>
                <w:iCs w:val="0"/>
                <w:color w:val="000000"/>
                <w:kern w:val="0"/>
                <w:sz w:val="18"/>
                <w:szCs w:val="18"/>
                <w:u w:val="none"/>
                <w:lang w:val="en-US" w:eastAsia="zh-CN" w:bidi="ar"/>
              </w:rPr>
              <w:t>处理个人信息的关键业务场景及相关流程。</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支撑个人信息处理活动的信息系统情况；</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d)</w:t>
            </w:r>
            <w:r>
              <w:rPr>
                <w:rFonts w:hint="eastAsia" w:ascii="宋体" w:hAnsi="宋体" w:eastAsia="宋体" w:cs="宋体"/>
                <w:i w:val="0"/>
                <w:iCs w:val="0"/>
                <w:color w:val="000000"/>
                <w:kern w:val="0"/>
                <w:sz w:val="18"/>
                <w:szCs w:val="18"/>
                <w:u w:val="none"/>
                <w:lang w:val="en-US" w:eastAsia="zh-CN" w:bidi="ar"/>
              </w:rPr>
              <w:t>个人信息处理者的个人信息保护相关管理制度和操作规程等；</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e)</w:t>
            </w:r>
            <w:r>
              <w:rPr>
                <w:rFonts w:hint="eastAsia" w:ascii="宋体" w:hAnsi="宋体" w:eastAsia="宋体" w:cs="宋体"/>
                <w:i w:val="0"/>
                <w:iCs w:val="0"/>
                <w:color w:val="000000"/>
                <w:kern w:val="0"/>
                <w:sz w:val="18"/>
                <w:szCs w:val="18"/>
                <w:u w:val="none"/>
                <w:lang w:val="en-US" w:eastAsia="zh-CN" w:bidi="ar"/>
              </w:rPr>
              <w:t>个人信息处理者采取的相关安全技术措施等；</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f)</w:t>
            </w:r>
            <w:r>
              <w:rPr>
                <w:rFonts w:hint="eastAsia" w:ascii="宋体" w:hAnsi="宋体" w:eastAsia="宋体" w:cs="宋体"/>
                <w:i w:val="0"/>
                <w:iCs w:val="0"/>
                <w:color w:val="000000"/>
                <w:kern w:val="0"/>
                <w:sz w:val="18"/>
                <w:szCs w:val="18"/>
                <w:u w:val="none"/>
                <w:lang w:val="en-US" w:eastAsia="zh-CN" w:bidi="ar"/>
              </w:rPr>
              <w:t>个人信息处理者已发生的个人信息相关安全事件或违规事件等。</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、是否制定了审前调查方案，明确调查方式、内容和范围？调查方式包括但不限于调查表格、查询数据、调阅资料、访谈人员等方式？</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调查方案是否全面且具操作性。</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1、查阅机构审前调查方案模板（对应TC260-PG-20254A 4.3.d），检查其是否</w:t>
            </w:r>
            <w:r>
              <w:rPr>
                <w:rFonts w:hint="eastAsia" w:ascii="宋体" w:hAnsi="宋体" w:eastAsia="宋体" w:cs="宋体"/>
                <w:i w:val="0"/>
                <w:iCs w:val="0"/>
                <w:color w:val="FF0000"/>
                <w:kern w:val="0"/>
                <w:sz w:val="18"/>
                <w:szCs w:val="18"/>
                <w:u w:val="none"/>
                <w:lang w:val="en-US" w:eastAsia="zh-CN" w:bidi="ar"/>
              </w:rPr>
              <w:t>明确对</w:t>
            </w:r>
            <w:r>
              <w:rPr>
                <w:rFonts w:hint="eastAsia" w:ascii="宋体" w:hAnsi="宋体" w:eastAsia="宋体" w:cs="宋体"/>
                <w:i w:val="0"/>
                <w:iCs w:val="0"/>
                <w:color w:val="000000"/>
                <w:kern w:val="0"/>
                <w:sz w:val="18"/>
                <w:szCs w:val="18"/>
                <w:u w:val="none"/>
                <w:lang w:val="en-US" w:eastAsia="zh-CN" w:bidi="ar"/>
              </w:rPr>
              <w:t>调查方式、内容、范围的</w:t>
            </w:r>
            <w:r>
              <w:rPr>
                <w:rFonts w:hint="eastAsia" w:ascii="宋体" w:hAnsi="宋体" w:eastAsia="宋体" w:cs="宋体"/>
                <w:i w:val="0"/>
                <w:iCs w:val="0"/>
                <w:color w:val="FF0000"/>
                <w:kern w:val="0"/>
                <w:sz w:val="18"/>
                <w:szCs w:val="18"/>
                <w:u w:val="none"/>
                <w:lang w:val="en-US" w:eastAsia="zh-CN" w:bidi="ar"/>
              </w:rPr>
              <w:t>要求</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2、抽查具体项目的审前调查方案，</w:t>
            </w:r>
            <w:r>
              <w:rPr>
                <w:rFonts w:hint="eastAsia" w:ascii="宋体" w:hAnsi="宋体" w:eastAsia="宋体" w:cs="宋体"/>
                <w:i w:val="0"/>
                <w:iCs w:val="0"/>
                <w:color w:val="FF0000"/>
                <w:kern w:val="0"/>
                <w:sz w:val="18"/>
                <w:szCs w:val="18"/>
                <w:u w:val="none"/>
                <w:lang w:val="en-US" w:eastAsia="zh-CN" w:bidi="ar"/>
              </w:rPr>
              <w:t>核验其是否按照模板要求并结合项目实际情况制定审前调查方案</w:t>
            </w:r>
            <w:r>
              <w:rPr>
                <w:rFonts w:hint="eastAsia" w:ascii="宋体" w:hAnsi="宋体" w:eastAsia="宋体" w:cs="宋体"/>
                <w:i w:val="0"/>
                <w:iCs w:val="0"/>
                <w:color w:val="000000"/>
                <w:kern w:val="0"/>
                <w:sz w:val="18"/>
                <w:szCs w:val="18"/>
                <w:u w:val="none"/>
                <w:lang w:val="en-US" w:eastAsia="zh-CN" w:bidi="ar"/>
              </w:rPr>
              <w:t>。</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前调查方案（编号：###，制定日期2025.1.18），确认其明确采用调查表（表编号###）、数据查询（SQL脚本编号SQL2025-01）、文件调阅（清单编号001）、访谈等方式，调查范围覆盖组织架构、处理活动、系统架构、信息系统等，负责人张某。</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、是否调查审计对象的组织架构、管理制度及人员职责（如个人信息保护负责人、管理部门）？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是否掌握组织管理结构。</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1、查阅访谈记录或文件调阅记录，确认是否获取了组织架构、管理制度等信息（对应TC260-PG-20254A 4.3.b）；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2、检查是否获取个人信息保护负责人任命文件等关键文件。</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访谈记录-个人信息保护负责人（记录日期2025.1.25，访谈人张某）及部门职责说明书（文件编号###），确认已了解审计对象的组织架构，并明确个人信息保护负责人为王某（部门：合规部），其职责在说明书中第X条有明确规定。</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17</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、是否核查个人信息处理活动的具体场景、流程及支撑的信息系统？</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是否掌握核心业务流程与系统。</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1、检查是否获取并审阅了关键个人信息处理流程图、系统架构图（对应TC260-PG-20254A 4.3.d）；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2、查阅访谈记录，确认是否核查了核心业务流程、数据流、处理环节、相关方关系（合同、协议）。</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核心业务流程清单（编号：###）及用户注册与画像处理流程图（版本V3.0），确认流程图中清晰标注了个人信息（如手机号、偏好标签）的流向，并注明支撑系统为“用户中心系统v3.1”和“推荐引擎系统v2.5”。</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、是否确认安全技术措施的有效性及历史安全事件处理情况？</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是否评估安全措施与历史事件。</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1、查阅安全测试报告（如渗透测试）、安全事件台账及整改记录（对应TC260-PG-20254A 4.3.f）；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2、检查是否对安全措施的有效性进行了验证性访谈或测试。</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年度渗透测试报告（报告编号###，出具方：某某安全公司，日期2024.10.30）及安全事件管理台账（台账编号###），确认报告显示核心系统无高危漏洞，台账记录了2024年发生的3起低风险事件（如INC2024001）并已完成整改。</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19</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5</w:t>
            </w:r>
            <w:r>
              <w:rPr>
                <w:rFonts w:hint="eastAsia" w:ascii="宋体" w:hAnsi="宋体" w:eastAsia="宋体" w:cs="宋体"/>
                <w:i w:val="0"/>
                <w:iCs w:val="0"/>
                <w:color w:val="000000"/>
                <w:kern w:val="0"/>
                <w:sz w:val="18"/>
                <w:szCs w:val="18"/>
                <w:u w:val="none"/>
                <w:lang w:val="en-US" w:eastAsia="zh-CN" w:bidi="ar"/>
              </w:rPr>
              <w:t>、是否明确个人信息处理类别、目的、范围及敏感程度等核心要素？</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是否识别个人信息处理核心要素。</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1、检查是否获取个人信息分类分级清单或数据资产清单（对应TC260-PG-20254A 4.3.c）；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2、查阅审计工作记录，确认是否识别了个人信息类别、级别、范围、规模、目的、敏感程度等核心要素。</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查阅了个人信息资产清单（清单编号PIA-2025-01，版本V1.2），确认其字段包含信息类别（如身份证号、位置信息）、处理目的（如风控、个性化推荐）、敏感程度（标注为“敏感”或“一般”），清单由李某确认。</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20</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5.2.4</w:t>
            </w:r>
            <w:r>
              <w:rPr>
                <w:rFonts w:hint="eastAsia" w:ascii="宋体" w:hAnsi="宋体" w:eastAsia="宋体" w:cs="宋体"/>
                <w:i w:val="0"/>
                <w:iCs w:val="0"/>
                <w:color w:val="000000"/>
                <w:kern w:val="0"/>
                <w:sz w:val="18"/>
                <w:szCs w:val="18"/>
                <w:u w:val="none"/>
                <w:lang w:val="en-US" w:eastAsia="zh-CN" w:bidi="ar"/>
              </w:rPr>
              <w:t>确定审计方式方法</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个人信息保护合规审计应采取现场审计和非现场审计相结合的方式，宜采用电子化和自动化审计方式，提高审计工作质量。</w:t>
            </w:r>
            <w:r>
              <w:rPr>
                <w:rFonts w:hint="default" w:ascii="宋体" w:hAnsi="Times New Roman" w:eastAsia="宋体" w:cs="Times New Roman"/>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审计人员应根据审计对象，选择合适的审计方式，以获取所需的审计证据。</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、是否制定了作业文件，明确现场审计、非现场审计、电子化和自动化审计方式的适用场景和选择标准？</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审计方式选择是否有据可依。</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w:t>
            </w:r>
            <w:r>
              <w:rPr>
                <w:rFonts w:hint="eastAsia" w:ascii="宋体" w:hAnsi="宋体" w:eastAsia="宋体" w:cs="宋体"/>
                <w:i w:val="0"/>
                <w:iCs w:val="0"/>
                <w:color w:val="FF0000"/>
                <w:kern w:val="0"/>
                <w:sz w:val="18"/>
                <w:szCs w:val="18"/>
                <w:u w:val="none"/>
                <w:lang w:val="en-US" w:eastAsia="zh-CN" w:bidi="ar"/>
              </w:rPr>
              <w:t>的</w:t>
            </w:r>
            <w:r>
              <w:rPr>
                <w:rFonts w:hint="eastAsia" w:ascii="宋体" w:hAnsi="宋体" w:eastAsia="宋体" w:cs="宋体"/>
                <w:i w:val="0"/>
                <w:iCs w:val="0"/>
                <w:color w:val="000000"/>
                <w:kern w:val="0"/>
                <w:sz w:val="18"/>
                <w:szCs w:val="18"/>
                <w:u w:val="none"/>
                <w:lang w:val="en-US" w:eastAsia="zh-CN" w:bidi="ar"/>
              </w:rPr>
              <w:t>审计方式</w:t>
            </w:r>
            <w:r>
              <w:rPr>
                <w:rFonts w:hint="eastAsia" w:ascii="宋体" w:hAnsi="宋体" w:eastAsia="宋体" w:cs="宋体"/>
                <w:i w:val="0"/>
                <w:iCs w:val="0"/>
                <w:color w:val="FF0000"/>
                <w:kern w:val="0"/>
                <w:sz w:val="18"/>
                <w:szCs w:val="18"/>
                <w:u w:val="none"/>
                <w:lang w:val="en-US" w:eastAsia="zh-CN" w:bidi="ar"/>
              </w:rPr>
              <w:t>的</w:t>
            </w:r>
            <w:r>
              <w:rPr>
                <w:rFonts w:hint="eastAsia" w:ascii="宋体" w:hAnsi="宋体" w:eastAsia="宋体" w:cs="宋体"/>
                <w:i w:val="0"/>
                <w:iCs w:val="0"/>
                <w:color w:val="000000"/>
                <w:kern w:val="0"/>
                <w:sz w:val="18"/>
                <w:szCs w:val="18"/>
                <w:u w:val="none"/>
                <w:lang w:val="en-US" w:eastAsia="zh-CN" w:bidi="ar"/>
              </w:rPr>
              <w:t>作业指导书（参考TC260-PG-20254A 4.3.b），确认其规定了不同</w:t>
            </w:r>
            <w:r>
              <w:rPr>
                <w:rFonts w:hint="eastAsia" w:ascii="宋体" w:hAnsi="宋体" w:eastAsia="宋体" w:cs="宋体"/>
                <w:i w:val="0"/>
                <w:iCs w:val="0"/>
                <w:color w:val="FF0000"/>
                <w:kern w:val="0"/>
                <w:sz w:val="18"/>
                <w:szCs w:val="18"/>
                <w:u w:val="none"/>
                <w:lang w:val="en-US" w:eastAsia="zh-CN" w:bidi="ar"/>
              </w:rPr>
              <w:t>审计</w:t>
            </w:r>
            <w:r>
              <w:rPr>
                <w:rFonts w:hint="eastAsia" w:ascii="宋体" w:hAnsi="宋体" w:eastAsia="宋体" w:cs="宋体"/>
                <w:i w:val="0"/>
                <w:iCs w:val="0"/>
                <w:color w:val="000000"/>
                <w:kern w:val="0"/>
                <w:sz w:val="18"/>
                <w:szCs w:val="18"/>
                <w:u w:val="none"/>
                <w:lang w:val="en-US" w:eastAsia="zh-CN" w:bidi="ar"/>
              </w:rPr>
              <w:t>方式的适用场景；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2、检查审计方案中是否说明了本次审计方式的选择依据。</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个人信息保护合规审计***指导书（文件编号###），确认其第4章明确规定了现场审计适用于“物理环境检查”、“关键人员面对面访谈”；非现场审计适用于“日志分析”、“文档审查”；自动化审计适用于“API接口批量测试”等场景。</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21</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、审计人员是否根据审计对象选择了合适的审计方式，选择记录是否留存？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审计方式选择是否合理且留痕。</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1、查阅审计方案或专项记录，确认审计方式选择理由的记录（对应TC260-PG-20254A 4.2.1.c）；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2、检查选择记录是否经过评审或确认。</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编制或记录（编号：###，填写日期2025.1.22），确认审计人员张某基于“数据处理系统复杂度高”选择“非现场审计+自动化工具”方式，并记录理由“便于大规模日志分析”，选择记录经审计组长李某审批。</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22</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、是否评审了所选审计方式对获取审计证据的有效性，评审记录是否留存？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是否评估审计方式的有效性。</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1、查阅关于审计方式有效性的评审会议纪要或记录（对应TC260-PG-20254A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2、检查评审记录是否包含对证据获取充分性的评估。</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查阅了***评审会议纪要（日期2025.1.25），确认参会人员张某、李某、王某评审认为“非现场审计+自动化工具（工具名称）”方式能有效获取服务器日志、数据库操作记录等关键证据，评审结论已记录并存档。</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5.2.5</w:t>
            </w:r>
            <w:r>
              <w:rPr>
                <w:rFonts w:hint="eastAsia" w:ascii="宋体" w:hAnsi="宋体" w:eastAsia="宋体" w:cs="宋体"/>
                <w:i w:val="0"/>
                <w:iCs w:val="0"/>
                <w:color w:val="000000"/>
                <w:kern w:val="0"/>
                <w:sz w:val="18"/>
                <w:szCs w:val="18"/>
                <w:u w:val="none"/>
                <w:lang w:val="en-US" w:eastAsia="zh-CN" w:bidi="ar"/>
              </w:rPr>
              <w:t>编制和评审审计方案</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方案是审计人员在实施审计时需要执行的一系列既定步骤，对每一步审计行动作出具体规定，以确保审计目标的实现。开展每个具体的个人信息保护合规审计项目前，审计人员应结合审计目标、审计对象和审计依据，编制审计方案。审计目标、审计对象、审计依据等发生变化时，应重新编制审计方案。审计方案应包括下列基本内容：</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审计对象的名称；</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t>审计目标和范围；</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审计依据和内容；</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d)</w:t>
            </w:r>
            <w:r>
              <w:rPr>
                <w:rFonts w:hint="eastAsia" w:ascii="宋体" w:hAnsi="宋体" w:eastAsia="宋体" w:cs="宋体"/>
                <w:i w:val="0"/>
                <w:iCs w:val="0"/>
                <w:color w:val="000000"/>
                <w:kern w:val="0"/>
                <w:sz w:val="18"/>
                <w:szCs w:val="18"/>
                <w:u w:val="none"/>
                <w:lang w:val="en-US" w:eastAsia="zh-CN" w:bidi="ar"/>
              </w:rPr>
              <w:t>审计流程和方法；</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e)</w:t>
            </w:r>
            <w:r>
              <w:rPr>
                <w:rFonts w:hint="eastAsia" w:ascii="宋体" w:hAnsi="宋体" w:eastAsia="宋体" w:cs="宋体"/>
                <w:i w:val="0"/>
                <w:iCs w:val="0"/>
                <w:color w:val="000000"/>
                <w:kern w:val="0"/>
                <w:sz w:val="18"/>
                <w:szCs w:val="18"/>
                <w:u w:val="none"/>
                <w:lang w:val="en-US" w:eastAsia="zh-CN" w:bidi="ar"/>
              </w:rPr>
              <w:t>审计组成员的组成及分工；</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f)</w:t>
            </w:r>
            <w:r>
              <w:rPr>
                <w:rFonts w:hint="eastAsia" w:ascii="宋体" w:hAnsi="宋体" w:eastAsia="宋体" w:cs="宋体"/>
                <w:i w:val="0"/>
                <w:iCs w:val="0"/>
                <w:color w:val="000000"/>
                <w:kern w:val="0"/>
                <w:sz w:val="18"/>
                <w:szCs w:val="18"/>
                <w:u w:val="none"/>
                <w:lang w:val="en-US" w:eastAsia="zh-CN" w:bidi="ar"/>
              </w:rPr>
              <w:t>审计起止日期；</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g)</w:t>
            </w:r>
            <w:r>
              <w:rPr>
                <w:rFonts w:hint="eastAsia" w:ascii="宋体" w:hAnsi="宋体" w:eastAsia="宋体" w:cs="宋体"/>
                <w:i w:val="0"/>
                <w:iCs w:val="0"/>
                <w:color w:val="000000"/>
                <w:kern w:val="0"/>
                <w:sz w:val="18"/>
                <w:szCs w:val="18"/>
                <w:u w:val="none"/>
                <w:lang w:val="en-US" w:eastAsia="zh-CN" w:bidi="ar"/>
              </w:rPr>
              <w:t>审计进度安排；</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h)</w:t>
            </w:r>
            <w:r>
              <w:rPr>
                <w:rFonts w:hint="eastAsia" w:ascii="宋体" w:hAnsi="宋体" w:eastAsia="宋体" w:cs="宋体"/>
                <w:i w:val="0"/>
                <w:iCs w:val="0"/>
                <w:color w:val="000000"/>
                <w:kern w:val="0"/>
                <w:sz w:val="18"/>
                <w:szCs w:val="18"/>
                <w:u w:val="none"/>
                <w:lang w:val="en-US" w:eastAsia="zh-CN" w:bidi="ar"/>
              </w:rPr>
              <w:t>对专家和合规审计工作结果的利用；</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i)</w:t>
            </w:r>
            <w:r>
              <w:rPr>
                <w:rFonts w:hint="eastAsia" w:ascii="宋体" w:hAnsi="宋体" w:eastAsia="宋体" w:cs="宋体"/>
                <w:i w:val="0"/>
                <w:iCs w:val="0"/>
                <w:color w:val="000000"/>
                <w:kern w:val="0"/>
                <w:sz w:val="18"/>
                <w:szCs w:val="18"/>
                <w:u w:val="none"/>
                <w:lang w:val="en-US" w:eastAsia="zh-CN" w:bidi="ar"/>
              </w:rPr>
              <w:t>审计实施所需资源；</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j)</w:t>
            </w:r>
            <w:r>
              <w:rPr>
                <w:rFonts w:hint="eastAsia" w:ascii="宋体" w:hAnsi="宋体" w:eastAsia="宋体" w:cs="宋体"/>
                <w:i w:val="0"/>
                <w:iCs w:val="0"/>
                <w:color w:val="000000"/>
                <w:kern w:val="0"/>
                <w:sz w:val="18"/>
                <w:szCs w:val="18"/>
                <w:u w:val="none"/>
                <w:lang w:val="en-US" w:eastAsia="zh-CN" w:bidi="ar"/>
              </w:rPr>
              <w:t>审计风险管理措施；</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k)</w:t>
            </w:r>
            <w:r>
              <w:rPr>
                <w:rFonts w:hint="eastAsia" w:ascii="宋体" w:hAnsi="宋体" w:eastAsia="宋体" w:cs="宋体"/>
                <w:i w:val="0"/>
                <w:iCs w:val="0"/>
                <w:color w:val="000000"/>
                <w:kern w:val="0"/>
                <w:sz w:val="18"/>
                <w:szCs w:val="18"/>
                <w:u w:val="none"/>
                <w:lang w:val="en-US" w:eastAsia="zh-CN" w:bidi="ar"/>
              </w:rPr>
              <w:t>其他有关内容。</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、审计方案的编制是否有流程和模板，编制记录是否留存？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方案编制是否标准化。</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1、检查机构审计方案模板及编制过程记录（对应TC260-PG-20254A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2、查阅方案版本历史，确认编制过程受控。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查阅了审计方案编制规范（文件编号###）及配套模板（版本V3.0），确认本次审计方案（编号2025-01）使用该模板编制，编制过程记录显示草稿版本V0.1至V1.0的修改由张某在2025-1-8完成。</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24</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、是否明确界定审计对象、目标、范围、依据及内容？方案中是否清晰列明被审计主体名称、核心目标与边界、法规依据及具体审计内容？</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审计方案要素是否完整清晰。</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1、逐项检查审计方案文档，确认审计对象、目标、范围、依据、内容等要素清晰完整（对应TC260-PG-20254A 4.3.b）；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2、对照标准要求，核对方案要素的完整性。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编号2025-01），确认其第1章明确界定审计对象为“某某科技有限公司”，第2章列明审计目标为“验证个保法合规性”，审计范围覆盖“2024年度全部个人数据处理活动”，审计依据包含《个人信息保护法》第13-24条，审计内容涵盖“告知同意”、“数据安全”等N个方面。</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、是否规划完整的执行步骤与时间安排？审计流程方法是否具体可行，起止日期与进度表是否合理且可操作）</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执行计划是否具体可行。</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1、查阅审计方案中的“审计程序”和“进度安排”章节，确认步骤具体、时间合理（对应TC260-PG-20254A 4.2.1.g）；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2、检查进度表是否考虑了资源约束和关键里程碑。</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编号2025-01）第4章“审计程序”和第5章“进度安排”，确认其规划了详细的X个执行步骤（如步骤4：“抽样检查用户授权记录”），时间安排为2025-2-1至3-15，进度表具体到每周任务，具有可操作性。</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、是否合理配置资源并明确分工？包括审计组成员职责划分、专家资源利用计划、人力</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技术</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预算等资源匹配性？</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资源与分工是否明确合理。</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1、查阅审计方案中的“审计组成员及分工”和“资源需求”部分（对应TC260-PG-20254A 4.2.1.g）；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2、检查分工是否明确，资源（人力、技术、预算）是否匹配审计目标。</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编号2025-01）第6章“资源分配”，确认其明确审计组成员张某、李某、王某的职责划分（张某负责总体协调，李某负责技术测试，王某负责文档审查），并列出需要利用的外部专家资源（如法律顾问赵六）及预算3万元。</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27</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5</w:t>
            </w:r>
            <w:r>
              <w:rPr>
                <w:rFonts w:hint="eastAsia" w:ascii="宋体" w:hAnsi="宋体" w:eastAsia="宋体" w:cs="宋体"/>
                <w:i w:val="0"/>
                <w:iCs w:val="0"/>
                <w:color w:val="000000"/>
                <w:kern w:val="0"/>
                <w:sz w:val="18"/>
                <w:szCs w:val="18"/>
                <w:u w:val="none"/>
                <w:lang w:val="en-US" w:eastAsia="zh-CN" w:bidi="ar"/>
              </w:rPr>
              <w:t>、是否包含风险控制措施及特殊场景应对方案）？是否识别潜在风险并制定缓解策略，是否针对特殊审计需求补充专项方案？</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是否考虑并规划风险应对。</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1、查阅审计方案中“审计风险管理措施”章节（对应TC260-PG-20254A 4.2.2.1）；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2、检查是否识别了潜在风险（如数据泄露、业务中断）并制定了缓解策略。</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编号2025-01）第7章“风险管理”，确认其识别了“数据泄露”、“审计独立性受损”等潜在风险，并制定相应缓解策略（如“所有敏感数据脱敏处理”），同时针对“数据跨境”特殊场景制定了专项检查方案（附件1）。</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6</w:t>
            </w:r>
            <w:r>
              <w:rPr>
                <w:rFonts w:hint="eastAsia" w:ascii="宋体" w:hAnsi="宋体" w:eastAsia="宋体" w:cs="宋体"/>
                <w:i w:val="0"/>
                <w:iCs w:val="0"/>
                <w:color w:val="000000"/>
                <w:kern w:val="0"/>
                <w:sz w:val="18"/>
                <w:szCs w:val="18"/>
                <w:u w:val="none"/>
                <w:lang w:val="en-US" w:eastAsia="zh-CN" w:bidi="ar"/>
              </w:rPr>
              <w:t>、是否有审计目标、审计对象、审计依据等发生变化时，重新编制审计方案的要求，重新编制审计方案记录是否留存？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方案变更是否受控。</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1、检查机构变更管理制度（对应TC260-PG-20254A 4.2.1.h）是否适用于审计方案的重新编制；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2、如有变更，查阅方案版本历史或变更审批记录。</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查阅了审计方案版本履历（记录日期2025-2-5），确认当审计对象新增“微信小程序”后，方案从V1.0更新至V1.1，重新编制记录包含变更原因、内容及审批人李某签字。</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29</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审计方案编制完成后，审计组长和审计对象应对审计方案进行评审。审计方案评审应重点考虑以下事项：</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、在编制和评审审计方案的有关制度中是否具有审计方案评审的要求</w:t>
            </w:r>
            <w:r>
              <w:rPr>
                <w:rStyle w:val="70"/>
                <w:rFonts w:hint="eastAsia" w:ascii="宋体" w:hAnsi="宋体" w:eastAsia="宋体" w:cs="宋体"/>
                <w:sz w:val="18"/>
                <w:szCs w:val="18"/>
                <w:lang w:val="en-US" w:eastAsia="zh-CN" w:bidi="ar"/>
              </w:rPr>
              <w:t>?</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制度是否明确评审要求。</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1、查阅机构审计方案评审制度中关于方案评审的条款是否对应TC260-PG-20254A 4.2.1.c；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2、检查制度是否明确评审参与方（审计组长、审计对象）及评审要求。</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查阅了审计管理制度（文件编号###）第5.3条，确认其明确规定“所有审计方案必须经过审计组长和审计对象评审”，评审要求已制度化。</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30</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结合以往开展的审计工作，审计方案是否可以改进；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、审计方案评审要求是否覆盖</w:t>
            </w:r>
            <w:r>
              <w:rPr>
                <w:rFonts w:hint="eastAsia" w:ascii="宋体" w:hAnsi="宋体" w:eastAsia="宋体" w:cs="宋体"/>
                <w:i w:val="0"/>
                <w:iCs w:val="0"/>
                <w:color w:val="FF0000"/>
                <w:kern w:val="0"/>
                <w:sz w:val="18"/>
                <w:szCs w:val="18"/>
                <w:u w:val="none"/>
                <w:lang w:val="en-US" w:eastAsia="zh-CN" w:bidi="ar"/>
              </w:rPr>
              <w:t>对</w:t>
            </w:r>
            <w:r>
              <w:rPr>
                <w:rFonts w:hint="eastAsia" w:ascii="宋体" w:hAnsi="宋体" w:eastAsia="宋体" w:cs="宋体"/>
                <w:i w:val="0"/>
                <w:iCs w:val="0"/>
                <w:color w:val="000000"/>
                <w:kern w:val="0"/>
                <w:sz w:val="18"/>
                <w:szCs w:val="18"/>
                <w:u w:val="none"/>
                <w:lang w:val="en-US" w:eastAsia="zh-CN" w:bidi="ar"/>
              </w:rPr>
              <w:t>结合以往开展的审计工作，审计方案是否可以改进的评审</w:t>
            </w:r>
            <w:r>
              <w:rPr>
                <w:rStyle w:val="70"/>
                <w:rFonts w:hint="eastAsia" w:ascii="宋体" w:hAnsi="宋体" w:eastAsia="宋体" w:cs="宋体"/>
                <w:sz w:val="18"/>
                <w:szCs w:val="18"/>
                <w:lang w:val="en-US" w:eastAsia="zh-CN" w:bidi="ar"/>
              </w:rPr>
              <w:t>?</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评审是否包含持续改进视角。</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1、查阅审计方案评审意见，检查是否包含对以往审计经验的借鉴和改进建议（对应TC260-PG-20254A 4.2.1.c）；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2、检查机构是否建立了审计经验知识库或案例库用于改进。</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查阅了审计方案评审意见表（编号：VV-2025-01，评审日期2025-1-28），确认评审意见中包含“建议参考2024年审计发现的第三方管理问题，在本方案中增加供应商审计程序”，体现了对以往审计工作</w:t>
            </w:r>
            <w:r>
              <w:rPr>
                <w:rFonts w:hint="eastAsia" w:ascii="宋体" w:hAnsi="宋体" w:eastAsia="宋体" w:cs="宋体"/>
                <w:i w:val="0"/>
                <w:iCs w:val="0"/>
                <w:color w:val="FF0000"/>
                <w:kern w:val="0"/>
                <w:sz w:val="18"/>
                <w:szCs w:val="18"/>
                <w:u w:val="none"/>
                <w:lang w:val="en-US" w:eastAsia="zh-CN" w:bidi="ar"/>
              </w:rPr>
              <w:t>经验的借鉴</w:t>
            </w:r>
            <w:r>
              <w:rPr>
                <w:rFonts w:hint="eastAsia" w:ascii="宋体" w:hAnsi="宋体" w:eastAsia="宋体" w:cs="宋体"/>
                <w:i w:val="0"/>
                <w:iCs w:val="0"/>
                <w:color w:val="000000"/>
                <w:kern w:val="0"/>
                <w:sz w:val="18"/>
                <w:szCs w:val="18"/>
                <w:u w:val="none"/>
                <w:lang w:val="en-US" w:eastAsia="zh-CN" w:bidi="ar"/>
              </w:rPr>
              <w:t>。</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31</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t>审计工作的过程和输出物是否符合相关法律、行政法规、部门规章、标准规范等要求；</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、审计方案评审要求是否覆盖</w:t>
            </w:r>
            <w:r>
              <w:rPr>
                <w:rFonts w:hint="eastAsia" w:ascii="宋体" w:hAnsi="宋体" w:eastAsia="宋体" w:cs="宋体"/>
                <w:i w:val="0"/>
                <w:iCs w:val="0"/>
                <w:color w:val="FF0000"/>
                <w:kern w:val="0"/>
                <w:sz w:val="18"/>
                <w:szCs w:val="18"/>
                <w:u w:val="none"/>
                <w:lang w:val="en-US" w:eastAsia="zh-CN" w:bidi="ar"/>
              </w:rPr>
              <w:t>对</w:t>
            </w:r>
            <w:r>
              <w:rPr>
                <w:rFonts w:hint="eastAsia" w:ascii="宋体" w:hAnsi="宋体" w:eastAsia="宋体" w:cs="宋体"/>
                <w:i w:val="0"/>
                <w:iCs w:val="0"/>
                <w:color w:val="000000"/>
                <w:kern w:val="0"/>
                <w:sz w:val="18"/>
                <w:szCs w:val="18"/>
                <w:u w:val="none"/>
                <w:lang w:val="en-US" w:eastAsia="zh-CN" w:bidi="ar"/>
              </w:rPr>
              <w:t>审计工作的过程和输出物是否符合相关法律、行政法规、部门规章、标准规范等要求的评审</w:t>
            </w:r>
            <w:r>
              <w:rPr>
                <w:rStyle w:val="70"/>
                <w:rFonts w:hint="eastAsia" w:ascii="宋体" w:hAnsi="宋体" w:eastAsia="宋体" w:cs="宋体"/>
                <w:sz w:val="18"/>
                <w:szCs w:val="18"/>
                <w:lang w:val="en-US" w:eastAsia="zh-CN" w:bidi="ar"/>
              </w:rPr>
              <w:t>?</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评审是否关注合规性。</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1、查阅评审记录，确认是否有对方案内容与法规要求符合性的检查表述（对应TC260-PG-20254A 4.2.1.c）；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2、检查评审人员是否具备法规知识（对应TC260-PG-20254A 4.3.a）。</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查阅了审计方案评审记录（日期2025-1-28），确认评审人张某、李某检查了方案中“审计抽样方法”与GB/T 35273第7.4条要求的一致性，评审结论为“符合”。</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32</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与审计工作有关的保密和安全事宜；</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、审计方案评审要求是否覆盖与审计工作有关的保密和安全事宜的评审？</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评审是否涵盖保密与安全。</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1、查阅评审记录，确认是否有对保密和安全事宜的评审意见（对应TC260-PG-20254A 4.2.1.c）；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2、检查是否参考了机构的保密管理制度和安全应急程序。</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查阅了审计方案评审记录（日期2025-1-28），确认评审内容包含“审计人员保密协议签署情况”和“审计数据加密传输要求”等保密安全事宜，评审意见要求“所有审计人员必须完成安全培训”。</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d)</w:t>
            </w:r>
            <w:r>
              <w:rPr>
                <w:rFonts w:hint="eastAsia" w:ascii="宋体" w:hAnsi="宋体" w:eastAsia="宋体" w:cs="宋体"/>
                <w:i w:val="0"/>
                <w:iCs w:val="0"/>
                <w:color w:val="000000"/>
                <w:kern w:val="0"/>
                <w:sz w:val="18"/>
                <w:szCs w:val="18"/>
                <w:u w:val="none"/>
                <w:lang w:val="en-US" w:eastAsia="zh-CN" w:bidi="ar"/>
              </w:rPr>
              <w:t>相关方对审计工作进一步的需求和期望。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5</w:t>
            </w:r>
            <w:r>
              <w:rPr>
                <w:rFonts w:hint="eastAsia" w:ascii="宋体" w:hAnsi="宋体" w:eastAsia="宋体" w:cs="宋体"/>
                <w:i w:val="0"/>
                <w:iCs w:val="0"/>
                <w:color w:val="000000"/>
                <w:kern w:val="0"/>
                <w:sz w:val="18"/>
                <w:szCs w:val="18"/>
                <w:u w:val="none"/>
                <w:lang w:val="en-US" w:eastAsia="zh-CN" w:bidi="ar"/>
              </w:rPr>
              <w:t>、审计方案评审要求是否覆盖相关方对审计工作进一步的需求和期望的评审？</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评审是否考虑相关方需求。</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1、查阅评审记录，确认是否记录了相关方（如管理层、业务部门）额外需求的讨论（对应TC260-PG-20254A 4.2.1.j）；</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2、检查需求是否在方案中得到了体现或回应。</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查阅了审计方案评审会议纪要（日期2025-1-28），确认记录了管理层王某提出的“希望增加对境外员工数据处理情况的检查”额外需求，该需求已被采纳并补充到方案附件中。</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34</w:t>
            </w:r>
          </w:p>
        </w:tc>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5.3</w:t>
            </w:r>
            <w:r>
              <w:rPr>
                <w:rFonts w:hint="eastAsia" w:ascii="宋体" w:hAnsi="宋体" w:eastAsia="宋体" w:cs="宋体"/>
                <w:i w:val="0"/>
                <w:iCs w:val="0"/>
                <w:color w:val="000000"/>
                <w:kern w:val="0"/>
                <w:sz w:val="18"/>
                <w:szCs w:val="18"/>
                <w:u w:val="none"/>
                <w:lang w:val="en-US" w:eastAsia="zh-CN" w:bidi="ar"/>
              </w:rPr>
              <w:t>审计实施阶段</w:t>
            </w:r>
            <w:r>
              <w:rPr>
                <w:rFonts w:hint="default" w:ascii="宋体" w:hAnsi="Times New Roman" w:eastAsia="宋体" w:cs="Times New Roman"/>
                <w:i w:val="0"/>
                <w:iCs w:val="0"/>
                <w:color w:val="000000"/>
                <w:kern w:val="0"/>
                <w:sz w:val="18"/>
                <w:szCs w:val="18"/>
                <w:u w:val="none"/>
                <w:lang w:val="en-US" w:eastAsia="zh-CN" w:bidi="ar"/>
              </w:rPr>
              <w:t xml:space="preserve">  </w:t>
            </w: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5.3.1</w:t>
            </w:r>
            <w:r>
              <w:rPr>
                <w:rFonts w:hint="eastAsia" w:ascii="宋体" w:hAnsi="宋体" w:eastAsia="宋体" w:cs="宋体"/>
                <w:i w:val="0"/>
                <w:iCs w:val="0"/>
                <w:color w:val="000000"/>
                <w:kern w:val="0"/>
                <w:sz w:val="18"/>
                <w:szCs w:val="18"/>
                <w:u w:val="none"/>
                <w:lang w:val="en-US" w:eastAsia="zh-CN" w:bidi="ar"/>
              </w:rPr>
              <w:t>发送审计通知</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正式实施审计前应通知审计对象负责人，并明确以下事项：</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审计工作参与者及其工作职责；</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t>审计目标、范围和依据；</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审计中所用的方法；</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d)</w:t>
            </w:r>
            <w:r>
              <w:rPr>
                <w:rFonts w:hint="eastAsia" w:ascii="宋体" w:hAnsi="宋体" w:eastAsia="宋体" w:cs="宋体"/>
                <w:i w:val="0"/>
                <w:iCs w:val="0"/>
                <w:color w:val="000000"/>
                <w:kern w:val="0"/>
                <w:sz w:val="18"/>
                <w:szCs w:val="18"/>
                <w:u w:val="none"/>
                <w:lang w:val="en-US" w:eastAsia="zh-CN" w:bidi="ar"/>
              </w:rPr>
              <w:t>审计组成员的到场对组织可能形成的风险的管理方法；</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e)</w:t>
            </w:r>
            <w:r>
              <w:rPr>
                <w:rFonts w:hint="eastAsia" w:ascii="宋体" w:hAnsi="宋体" w:eastAsia="宋体" w:cs="宋体"/>
                <w:i w:val="0"/>
                <w:iCs w:val="0"/>
                <w:color w:val="000000"/>
                <w:kern w:val="0"/>
                <w:sz w:val="18"/>
                <w:szCs w:val="18"/>
                <w:u w:val="none"/>
                <w:lang w:val="en-US" w:eastAsia="zh-CN" w:bidi="ar"/>
              </w:rPr>
              <w:t>审计组和审计对象之间的正式沟通渠道；</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f)</w:t>
            </w:r>
            <w:r>
              <w:rPr>
                <w:rFonts w:hint="eastAsia" w:ascii="宋体" w:hAnsi="宋体" w:eastAsia="宋体" w:cs="宋体"/>
                <w:i w:val="0"/>
                <w:iCs w:val="0"/>
                <w:color w:val="000000"/>
                <w:kern w:val="0"/>
                <w:sz w:val="18"/>
                <w:szCs w:val="18"/>
                <w:u w:val="none"/>
                <w:lang w:val="en-US" w:eastAsia="zh-CN" w:bidi="ar"/>
              </w:rPr>
              <w:t>审计组所需的资源和设施；</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g)</w:t>
            </w:r>
            <w:r>
              <w:rPr>
                <w:rFonts w:hint="eastAsia" w:ascii="宋体" w:hAnsi="宋体" w:eastAsia="宋体" w:cs="宋体"/>
                <w:i w:val="0"/>
                <w:iCs w:val="0"/>
                <w:color w:val="000000"/>
                <w:kern w:val="0"/>
                <w:sz w:val="18"/>
                <w:szCs w:val="18"/>
                <w:u w:val="none"/>
                <w:lang w:val="en-US" w:eastAsia="zh-CN" w:bidi="ar"/>
              </w:rPr>
              <w:t>有关保密和信息安全事宜；</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h)</w:t>
            </w:r>
            <w:r>
              <w:rPr>
                <w:rFonts w:hint="eastAsia" w:ascii="宋体" w:hAnsi="宋体" w:eastAsia="宋体" w:cs="宋体"/>
                <w:i w:val="0"/>
                <w:iCs w:val="0"/>
                <w:color w:val="000000"/>
                <w:kern w:val="0"/>
                <w:sz w:val="18"/>
                <w:szCs w:val="18"/>
                <w:u w:val="none"/>
                <w:lang w:val="en-US" w:eastAsia="zh-CN" w:bidi="ar"/>
              </w:rPr>
              <w:t>审计组的日常安全事项、应急和安全程序；</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i)</w:t>
            </w:r>
            <w:r>
              <w:rPr>
                <w:rFonts w:hint="eastAsia" w:ascii="宋体" w:hAnsi="宋体" w:eastAsia="宋体" w:cs="宋体"/>
                <w:i w:val="0"/>
                <w:iCs w:val="0"/>
                <w:color w:val="000000"/>
                <w:kern w:val="0"/>
                <w:sz w:val="18"/>
                <w:szCs w:val="18"/>
                <w:u w:val="none"/>
                <w:lang w:val="en-US" w:eastAsia="zh-CN" w:bidi="ar"/>
              </w:rPr>
              <w:t>审计对象对审计发现、审计结论等的反馈渠道。</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、是否已明确告知审计目标、范围、依据、方法及参与者的身份与职责？</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审计通知内容是否完整。</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1、查阅发出的审计通知文件，核对是否包含审计目标、范围、依据、方法、参与者等全部要素（对应TC260-PG-20254A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2、检查通知内容是否与审计方案一致。</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查阅了审计通知（文件编号###，发送日期2025-2-1），确认其明确列出了审计目标（验证合规性）、范围（2024年全业务）、依据（个保法等）、方法（现场+非现场）、参与者（张某等人）及其职责。</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、是否已建立正式沟通渠道、反馈机制，并确认所需资源与设施？</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沟通与后勤保障是否到位。</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1、查阅审计通知，确认是否明确了正式沟通渠道、联系人、反馈机制及所需资源（对应TC260-PG-20254A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2、检查是否有审计对象对资源和设施的确认记录。</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通知（记录编号NT-2025-01），确认其明确了正式沟通渠道（联系人：李某，邮箱lisi@company.com）、反馈机制（每周进度会议）、所需资源（独立办公室、网络接入）、关键岗位人员、政策文件/运营记录/、设施（投影设备）、***系统演示、核心业务系统、数据库日志等账号权限（只读）。</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、是否已说明风险控制措施、保密要求及安全应急程序？</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是否告知风险、保密与安全要求。</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1、查阅审计通知或附件，确认是否包含保密承诺、安全须知、风险控制措施及应急程序说明（对应TC260-PG-20254A 4.2.2.1）；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2、检查审计人员是否签署了保密协议（对应TC260-PG-20254A 4.2.1.b）。</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查阅了审计通知附件安全保密须知（版本V2.0），确认其说明了风险控制措施（如数据最小化采集）、保密要求（签署保密协议）及安全应急程序（发现安全事件立即报告），审计对象已签收确认。</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37</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5.3.2</w:t>
            </w:r>
            <w:r>
              <w:rPr>
                <w:rFonts w:hint="eastAsia" w:ascii="宋体" w:hAnsi="宋体" w:eastAsia="宋体" w:cs="宋体"/>
                <w:i w:val="0"/>
                <w:iCs w:val="0"/>
                <w:color w:val="000000"/>
                <w:kern w:val="0"/>
                <w:sz w:val="18"/>
                <w:szCs w:val="18"/>
                <w:u w:val="none"/>
                <w:lang w:val="en-US" w:eastAsia="zh-CN" w:bidi="ar"/>
              </w:rPr>
              <w:t>收集审计证据</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审计人员应多渠道、广泛收集审计证据，降低审计风险，确保审计质量。审计证据应与审计目的相关联，并能如实反映客观要求。</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、是否通过至少三种独立渠道（如文件调阅、访谈、数据分析、技术检测等）收集关键审计证据，并覆盖主要风险点？</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证据收集是否多源且覆盖风险。</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1、查阅审计底稿，针对高风险审计发现，检查其证据来源是否多于两种（如文件+访谈+技术检测）（对应TC260-PG-20254A 4.3.f，4.3.g）；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2、对于通过技术检测获取的证据（如自动化扫描报告），要求说明所使用的检测工具原理、配置参数、扫描范围及局限性，并评估其在该场景下的适用性。验证其技术检测能力；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3、检查证据收集计划是否明确要求多渠道验证。</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底稿（编号DG-007，日期2025-2-20），确认对于“用户同意获取”这一高风险点，同时通过文件调阅（隐私政策版本记录）、访谈（产品经理访谈记录）、数据分析（用户授权日志分析）三种独立渠道收集证据，覆盖主要风险点。</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w:t>
            </w:r>
            <w:r>
              <w:rPr>
                <w:rStyle w:val="70"/>
                <w:rFonts w:hint="eastAsia" w:ascii="宋体" w:hAnsi="宋体" w:eastAsia="宋体" w:cs="宋体"/>
                <w:sz w:val="18"/>
                <w:szCs w:val="18"/>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审计证据是否与审计目标直接相关，并真实反映被审计对象的实际情况？</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证据是否相关且真实。</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1、抽样检查关键审计证据，评估其与审计目标的相关性及真实性（如是否为原件或可靠复制件）（对应TC260-PG-20254A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2、检查证据链是否完整，能否支撑审计结论。</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抽样选取的5份审计证据（如DG-007-b1用户授权日志截图），确认其直接支持审计目标“验证告知同意合规性”，证据来源为原始业务数据库（表名：user_consent_logs），数据时间范围为2024-1-1至12-31，真实反映业务情况。</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39</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审计人员应对获取到的审计证据进行妥善保管，并进行集中归档，及时整理成对应的审计底稿。</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、审计人员是否对证据进行规范保管、集中归档，并按规定时限整理为审计底稿？</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证据保管与整理是否规范及时。</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1、查阅审计证据归档清单，检查编号规则、归档完整性及时限（对应TC260-PG-20254A 4.2.1.k）；</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2、核对清单与实物/电子档案的一致性。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查阅了审计证据归档清单（编号###，更新至2025.3.1），确认所有证据均按“年份-项目-类型-序号”规则编号（如2025-DG-001），集中归档至指定服务器路径\SVN\2025\evidence\，并在收集后3个工作日内整理为对应底稿。</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40</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5.3.3</w:t>
            </w:r>
            <w:r>
              <w:rPr>
                <w:rFonts w:hint="eastAsia" w:ascii="宋体" w:hAnsi="宋体" w:eastAsia="宋体" w:cs="宋体"/>
                <w:i w:val="0"/>
                <w:iCs w:val="0"/>
                <w:color w:val="000000"/>
                <w:kern w:val="0"/>
                <w:sz w:val="18"/>
                <w:szCs w:val="18"/>
                <w:u w:val="none"/>
                <w:lang w:val="en-US" w:eastAsia="zh-CN" w:bidi="ar"/>
              </w:rPr>
              <w:t>采信审计证据</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审计人员应仅采信符合要求的审计证据，包括但不限于履行个人信息保护职责的部门本年度组织的或者仍处于有效期内的网络安全、数据安全、个人信息保护相关检查、检测、评估、认证结果。</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、所采信的检查、检测、评估、认证结果是否由履行个人信息保护职责的部门于本年度组织或者处于有效期内？</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采信的外部结果是否有效且权威。</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1、查阅采信的检查/检测是否由履行个人信息保护职责的部门于本年度组织</w:t>
            </w:r>
            <w:r>
              <w:rPr>
                <w:rFonts w:hint="eastAsia" w:ascii="宋体" w:hAnsi="宋体" w:eastAsia="宋体" w:cs="宋体"/>
                <w:i w:val="0"/>
                <w:iCs w:val="0"/>
                <w:color w:val="FF0000"/>
                <w:kern w:val="0"/>
                <w:sz w:val="18"/>
                <w:szCs w:val="18"/>
                <w:u w:val="none"/>
                <w:lang w:val="en-US" w:eastAsia="zh-CN" w:bidi="ar"/>
              </w:rPr>
              <w:t>实施的</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2、查阅采信的检测、评估、认证结果是否由履行个人信息保护职责的部门认可的机构出具；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3、核对其签发日期、有效期及出具机构资质（对应TC260-PG-20254A 4.3.f）。</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查阅了采信的网络安全等级测评报告（报告编号CEXX-2024-XXX，出具机构：某某测评中心，有效期至2025-6-30），确认该报告由CNAS认可的测评机构出具，在审计期间（2025.2-3月）处于有效期内。</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41</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必要时，审计人员应当采用一定的方法对取得的审计材料和审计对象进行评价分析和技术测试，形成可采信的审计证据，并对照形成审计发现。</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、是否通过评价分析或技术测试验证审计材料的可靠性，并形成可采信的书面证据？</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是否对关键材料进行验证。</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1、查阅技术测试报告、数据分析过程记录等，确认对存疑材料进行了验证（对应TC260-PG-20254A 4.3.f、4.3.g）；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2、4.3.f验证：对于声称已验证的“安全技术措施”（如加密、访问控制），要求提供详细的验证方法描述、测试用例或观测点。例如，如何验证加密有效性？是查看配置、测试解密，还是审查算法实现？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3、检查验证过程是否遵循了机构的技术验证作业指导书。</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查阅了技术验证报告-数据加密有效性（报告编号###-001，日期2025-2-25），确认审计人员使用工具Wireshark v3.6(网络流量分析)对传输数据包进行抓包分析，验证了加密措施的有效性，形成可采信的书面证据。</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42</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、是否将审计证据与适用标准</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法规逐项对照，明确差异并形成书面审计发现？</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证据与法规对照是否严谨。</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1、查阅审计发现问题记录表，检查其是否包含“适用标准/法规”和“事实描述”的对照字段且已填写（对应TC260-PG-20254A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2、抽样核对发现描述与法规条款的准确性。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查阅了审计发现记录表（编号###，日期2025-2-28），确认其将发现的“未获明确同意收集位置信息”事实与《个人信息保护法》第13条第1款逐项对照，明确差异并形成书面审计发现，记录人张某。</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5.3.4</w:t>
            </w:r>
            <w:r>
              <w:rPr>
                <w:rFonts w:hint="eastAsia" w:ascii="宋体" w:hAnsi="宋体" w:eastAsia="宋体" w:cs="宋体"/>
                <w:i w:val="0"/>
                <w:iCs w:val="0"/>
                <w:color w:val="000000"/>
                <w:kern w:val="0"/>
                <w:sz w:val="18"/>
                <w:szCs w:val="18"/>
                <w:u w:val="none"/>
                <w:lang w:val="en-US" w:eastAsia="zh-CN" w:bidi="ar"/>
              </w:rPr>
              <w:t>撰写审计底稿</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审计底稿应内容完整、记录清晰、结论明确，客观地反映审计方案的编制及实施情况，以及与形成审计结论、意见和建议有关的所有重要事项。审计底稿包括以下内容：</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审计底稿编号；</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b)</w:t>
            </w:r>
            <w:r>
              <w:rPr>
                <w:rFonts w:hint="eastAsia" w:ascii="宋体" w:hAnsi="Times New Roman" w:eastAsia="宋体" w:cs="Times New Roman"/>
                <w:i w:val="0"/>
                <w:iCs w:val="0"/>
                <w:color w:val="000000"/>
                <w:kern w:val="0"/>
                <w:sz w:val="18"/>
                <w:szCs w:val="18"/>
                <w:u w:val="none"/>
                <w:lang w:val="en-US" w:eastAsia="zh-CN" w:bidi="ar"/>
              </w:rPr>
              <w:t>个人信息处理者内部机构或</w:t>
            </w:r>
            <w:r>
              <w:rPr>
                <w:rFonts w:hint="eastAsia" w:ascii="宋体" w:hAnsi="宋体" w:eastAsia="宋体" w:cs="宋体"/>
                <w:i w:val="0"/>
                <w:iCs w:val="0"/>
                <w:color w:val="000000"/>
                <w:kern w:val="0"/>
                <w:sz w:val="18"/>
                <w:szCs w:val="18"/>
                <w:u w:val="none"/>
                <w:lang w:val="en-US" w:eastAsia="zh-CN" w:bidi="ar"/>
              </w:rPr>
              <w:t>专业机构的名称以及审计人员名称（签名）、审计日期、审计地点；</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个人信息处理者的名称；</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d)</w:t>
            </w:r>
            <w:r>
              <w:rPr>
                <w:rFonts w:hint="eastAsia" w:ascii="宋体" w:hAnsi="宋体" w:eastAsia="宋体" w:cs="宋体"/>
                <w:i w:val="0"/>
                <w:iCs w:val="0"/>
                <w:color w:val="000000"/>
                <w:kern w:val="0"/>
                <w:sz w:val="18"/>
                <w:szCs w:val="18"/>
                <w:u w:val="none"/>
                <w:lang w:val="en-US" w:eastAsia="zh-CN" w:bidi="ar"/>
              </w:rPr>
              <w:t>审计事项及审计起止日期；</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e)</w:t>
            </w:r>
            <w:r>
              <w:rPr>
                <w:rFonts w:hint="eastAsia" w:ascii="宋体" w:hAnsi="宋体" w:eastAsia="宋体" w:cs="宋体"/>
                <w:i w:val="0"/>
                <w:iCs w:val="0"/>
                <w:color w:val="000000"/>
                <w:kern w:val="0"/>
                <w:sz w:val="18"/>
                <w:szCs w:val="18"/>
                <w:u w:val="none"/>
                <w:lang w:val="en-US" w:eastAsia="zh-CN" w:bidi="ar"/>
              </w:rPr>
              <w:t>审计程序的执行过程及结果记录；</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f)</w:t>
            </w:r>
            <w:r>
              <w:rPr>
                <w:rFonts w:hint="eastAsia" w:ascii="宋体" w:hAnsi="宋体" w:eastAsia="宋体" w:cs="宋体"/>
                <w:i w:val="0"/>
                <w:iCs w:val="0"/>
                <w:color w:val="000000"/>
                <w:kern w:val="0"/>
                <w:sz w:val="18"/>
                <w:szCs w:val="18"/>
                <w:u w:val="none"/>
                <w:lang w:val="en-US" w:eastAsia="zh-CN" w:bidi="ar"/>
              </w:rPr>
              <w:t>审计依据；</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g)</w:t>
            </w:r>
            <w:r>
              <w:rPr>
                <w:rFonts w:hint="eastAsia" w:ascii="宋体" w:hAnsi="宋体" w:eastAsia="宋体" w:cs="宋体"/>
                <w:i w:val="0"/>
                <w:iCs w:val="0"/>
                <w:color w:val="000000"/>
                <w:kern w:val="0"/>
                <w:sz w:val="18"/>
                <w:szCs w:val="18"/>
                <w:u w:val="none"/>
                <w:lang w:val="en-US" w:eastAsia="zh-CN" w:bidi="ar"/>
              </w:rPr>
              <w:t>审计发现和审计证据；</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h)</w:t>
            </w:r>
            <w:r>
              <w:rPr>
                <w:rFonts w:hint="eastAsia" w:ascii="宋体" w:hAnsi="宋体" w:eastAsia="宋体" w:cs="宋体"/>
                <w:i w:val="0"/>
                <w:iCs w:val="0"/>
                <w:color w:val="000000"/>
                <w:kern w:val="0"/>
                <w:sz w:val="18"/>
                <w:szCs w:val="18"/>
                <w:u w:val="none"/>
                <w:lang w:val="en-US" w:eastAsia="zh-CN" w:bidi="ar"/>
              </w:rPr>
              <w:t>审计结论、意见及建议；</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i)</w:t>
            </w:r>
            <w:r>
              <w:rPr>
                <w:rFonts w:hint="eastAsia" w:ascii="宋体" w:hAnsi="宋体" w:eastAsia="宋体" w:cs="宋体"/>
                <w:i w:val="0"/>
                <w:iCs w:val="0"/>
                <w:color w:val="000000"/>
                <w:kern w:val="0"/>
                <w:sz w:val="18"/>
                <w:szCs w:val="18"/>
                <w:u w:val="none"/>
                <w:lang w:val="en-US" w:eastAsia="zh-CN" w:bidi="ar"/>
              </w:rPr>
              <w:t>复核人员名称（签名）、复核日期和复核意见；</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j)</w:t>
            </w:r>
            <w:r>
              <w:rPr>
                <w:rFonts w:hint="eastAsia" w:ascii="宋体" w:hAnsi="宋体" w:eastAsia="宋体" w:cs="宋体"/>
                <w:i w:val="0"/>
                <w:iCs w:val="0"/>
                <w:color w:val="000000"/>
                <w:kern w:val="0"/>
                <w:sz w:val="18"/>
                <w:szCs w:val="18"/>
                <w:u w:val="none"/>
                <w:lang w:val="en-US" w:eastAsia="zh-CN" w:bidi="ar"/>
              </w:rPr>
              <w:t>索引号及页次；</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k)</w:t>
            </w:r>
            <w:r>
              <w:rPr>
                <w:rFonts w:hint="eastAsia" w:ascii="宋体" w:hAnsi="宋体" w:eastAsia="宋体" w:cs="宋体"/>
                <w:i w:val="0"/>
                <w:iCs w:val="0"/>
                <w:color w:val="000000"/>
                <w:kern w:val="0"/>
                <w:sz w:val="18"/>
                <w:szCs w:val="18"/>
                <w:u w:val="none"/>
                <w:lang w:val="en-US" w:eastAsia="zh-CN" w:bidi="ar"/>
              </w:rPr>
              <w:t>审计标识与其他符号及说明；</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l)</w:t>
            </w:r>
            <w:r>
              <w:rPr>
                <w:rFonts w:hint="eastAsia" w:ascii="宋体" w:hAnsi="宋体" w:eastAsia="宋体" w:cs="宋体"/>
                <w:i w:val="0"/>
                <w:iCs w:val="0"/>
                <w:color w:val="000000"/>
                <w:kern w:val="0"/>
                <w:sz w:val="18"/>
                <w:szCs w:val="18"/>
                <w:u w:val="none"/>
                <w:lang w:val="en-US" w:eastAsia="zh-CN" w:bidi="ar"/>
              </w:rPr>
              <w:t>访谈人员清单和资料查阅清单；</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lang w:val="en-US" w:eastAsia="zh-CN" w:bidi="ar"/>
              </w:rPr>
              <w:t>其他审计人员认为应记录的内容。</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、审计底稿是否完整包含编号、</w:t>
            </w:r>
            <w:r>
              <w:rPr>
                <w:rFonts w:hint="eastAsia" w:ascii="宋体" w:hAnsi="宋体" w:cs="宋体"/>
                <w:i w:val="0"/>
                <w:iCs w:val="0"/>
                <w:color w:val="000000"/>
                <w:kern w:val="0"/>
                <w:sz w:val="18"/>
                <w:szCs w:val="18"/>
                <w:u w:val="none"/>
                <w:lang w:val="en-US" w:eastAsia="zh-CN" w:bidi="ar"/>
              </w:rPr>
              <w:t>专业</w:t>
            </w:r>
            <w:r>
              <w:rPr>
                <w:rFonts w:hint="eastAsia" w:ascii="宋体" w:hAnsi="宋体" w:eastAsia="宋体" w:cs="宋体"/>
                <w:i w:val="0"/>
                <w:iCs w:val="0"/>
                <w:color w:val="000000"/>
                <w:kern w:val="0"/>
                <w:sz w:val="18"/>
                <w:szCs w:val="18"/>
                <w:u w:val="none"/>
                <w:lang w:val="en-US" w:eastAsia="zh-CN" w:bidi="ar"/>
              </w:rPr>
              <w:t>机构</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人员名称、日期、地点等基础信息？</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底稿要素是否齐全。</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1、抽样检查3-5份审计底稿，核对编号、机构/人员名称、日期、地点等基础要素的完整性（对应TC260-PG-20254A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2、检查底稿是否使用机构统一模板。</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抽样底稿DG-012-用户权利响应机制检查（日期2025-2-18），确认其完整包含底稿编号DG-012、机构名称“某某审计部”、审计人员张某签名、审计日期2025-2-18、审计地点“北京总部”、被审计单位“某某科技“等基础信息。</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44</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、是否清晰记录审计程序执行过程、依据及证据链（执行步骤、引用法规</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标准、发现问题及支撑证据的关联性）？</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底稿是否清晰记录过程与逻辑。</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1、请未参与审计的第三方人员审阅抽样底稿，评估其过程记录和逻辑的清晰度（对应TC260-PG-20254A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2、检查底稿是否清晰展示了从证据到发现再到结论的推理链条。</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底稿 DG-015（数据跨境传输检查）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检查程序：1) 调阅数据出境评估报告；2) 访谈法务人员。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法规依据：《数据出境安全评估办法》第5条。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审计发现：存在未完成法定数据出境安全评估的情况。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支撑证据：证据EV-015-01已构成完整证据链，支持上述发现。</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、审计结论与建议是否明确，并与底稿中的发现和证据逻辑一致？</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结论建议是否基于证据且明确。</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1、检查底稿中的结论和建议，追溯其与同底稿内发现和证据的直接逻辑关联（对应TC260-PG-20254A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2、避免结论和建议出现无依据的引申或泛化。</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底稿 DG-008（隐私政策合规性）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事实与证据：隐私政策文本中缺失“存储期限”字段（证据EV-008-01：政策截图）。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审计结论：隐私政策未向用户明确告知个人信息存储期限。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整改建议：建议在15日内补充并明确该内容。</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、是否完整记录访谈清单、资料查阅清单及其他必要事项？</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支持性清单是否完备。</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1、查阅审计底稿的附件，确认是否包含完整的访谈人员清单和资料调阅清单（对应TC260-PG-20254A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2、核对清单内容与正文引用的匹配性。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底稿 DG-010（关键人员访谈）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记录完整性确认：经复核，该底稿附件完整，无遗漏事项。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访谈信息：对象：数据保护官（王某）；时间：2025年2月22日。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查阅文件：数据分类政策V2.1。</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47</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5</w:t>
            </w:r>
            <w:r>
              <w:rPr>
                <w:rFonts w:hint="eastAsia" w:ascii="宋体" w:hAnsi="宋体" w:eastAsia="宋体" w:cs="宋体"/>
                <w:i w:val="0"/>
                <w:iCs w:val="0"/>
                <w:color w:val="000000"/>
                <w:kern w:val="0"/>
                <w:sz w:val="18"/>
                <w:szCs w:val="18"/>
                <w:u w:val="none"/>
                <w:lang w:val="en-US" w:eastAsia="zh-CN" w:bidi="ar"/>
              </w:rPr>
              <w:t>、底稿内容是否客观反映审计方案实施全貌，且无重要事项遗漏？</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底稿是否全面反映审计过程。</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1、将审计方案中的审计程序与审计底稿索引进行交叉核对，确认所有计划程序均有执行记录（对应TC260-PG-20254A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2、检查是否有程序变更及相应记录。</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查阅了全部审计底稿（编号DG-001至DG-035），对比审计方案中规划的20项审计程序，确认所有程序均有对应的底稿记录，底稿内容客观反映了审计方案实施的全貌，无重要事项遗漏。</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5.3.5</w:t>
            </w:r>
            <w:r>
              <w:rPr>
                <w:rFonts w:hint="eastAsia" w:ascii="宋体" w:hAnsi="宋体" w:eastAsia="宋体" w:cs="宋体"/>
                <w:i w:val="0"/>
                <w:iCs w:val="0"/>
                <w:color w:val="000000"/>
                <w:kern w:val="0"/>
                <w:sz w:val="18"/>
                <w:szCs w:val="18"/>
                <w:u w:val="none"/>
                <w:lang w:val="en-US" w:eastAsia="zh-CN" w:bidi="ar"/>
              </w:rPr>
              <w:t>确认审计发现</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审计人员应对取得的审计证据进行评价分析，对发现的问题进行定性，并对照审计依据形成审计发现。</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、是否有审计发现评价分析和定性的标准和流程，标准和流程文件是否留存？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发现定性是否有标准可循。</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1、查阅机构审计发现问题定级标准等文件（对应TC260-PG-20254A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2、检查定级标准是否明确了“影响程度”“整改代价”等维度；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3、要求提供审计内容判别尺度内部指引或类似文件，并说明在本项目中对某一具体发现（如“未取得单独同意”）进行定性和定级时，是如何应用该指引的。</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查阅了审计发现问题定级标准（文件编号###，版本V2.0），确认其明确了问题严重程度分级标准（如“高危”：违反强制性条款；“中危”：违反推荐性条款等），标准文件经负责人批准并存档。</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49</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、审计人员是否按照标准和流程进行评价分析和定性，分析记录是否留存？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是否按标准执行定性并留痕。</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1、查阅审计发现问题汇总表，检查定级结果，并追溯至定级依据（对应TC260-PG-20254A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2、检查是否留存了定级分析过程记录。</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查阅了审计发现汇总及分类分级表（编号###，日期2025-3-1），确认审计人员张某按照既定标准对发现的问题进行了评价分析和定性（如问题FND-003定为“高危”），分析记录包含定级理由并已留存。</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50</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、审计发现是否对照审计依据形成，形成记录是否留存？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发现是否严格对照依据形成。</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1、检查每个审计发现记录是否明确列出了违反的法规/标准名称及具体条款（对应TC260-PG-20254A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2、检查审计发现模板是否强制要求填写“审计依据”字段。</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查阅了审计发现记录表（编号FND-001至FND-010），确认每个审计发现均包含“审计依据”字段，且已填写具体法规条款（如FND-001依据《个人信息保护法》第17条），形成记录完整可查。</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51</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审计人员应通过会议等机制，将审计发现及审计结论通报给个人信息处理者管理层，并进行沟通和确认。</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、是否有通报审计发现和结论的会议记录，记录是否涵盖沟通和确认情况？</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是否与管理层正式沟通发现。</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1、查阅审计发现沟通会的会议纪要，确认参会人员、讨论内容及管理层初步确认情况（对应TC260-PG-20254A 4.2.1.i）；</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2、检查会议纪要是否在沟通后规定时间内完成并分发。</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查阅了审计发现通报会议纪要（日期2025年3月2日），确认会议记录包含审计发现FND-001至FND-010的通报情况、管理层王某的反馈意见以及双方对问题事实的确认情况，参会人员张某、李某、王某均签字确认。</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52</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、个人信息处理者管理层是否对审计发现和结论进行了确认，确认记录是否留存？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管理层是否确认发现。</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1、查阅经管理层签字确认的审计发现问题确认单（对应TC260-PG-20254A 4.2.1.j）；</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2、检查确认单是否包含了所有审计发现及分级结果。</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查阅了经个人信息处理者管理层签署的审计发现确认函（日期2025年3月3日），确认管理层王某对审计发现和结论进行了书面确认，确认函已归档保存（存档路径：\SVN\2025\management\）。</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审计对象有异议的，双方应进行讨论协商，必要时审计人员进一步核实；若双方就审计发现及审计结论仍未能达成一致，审计人员应在审计底稿中予以记录。</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、是否有异议处理的记录，记录是否包括讨论协商和进一步核实情况？</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异议处理是否记录完整。</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1、查阅针对异议的沟通记录（邮件、会议纪要等），确认是否进行了讨论协商和进一步核实（对应TC260-PG-20254A 4.2.3.2）；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2、检查核实工作是否有额外的工作记录或证据。</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查阅了审计发现异议处理记录表（编号</w:t>
            </w:r>
            <w:r>
              <w:rPr>
                <w:rStyle w:val="70"/>
                <w:rFonts w:hint="eastAsia" w:ascii="宋体" w:hAnsi="宋体" w:eastAsia="宋体" w:cs="宋体"/>
                <w:sz w:val="18"/>
                <w:szCs w:val="18"/>
                <w:lang w:val="en-US" w:eastAsia="zh-CN" w:bidi="ar"/>
              </w:rPr>
              <w:t>DIS-001</w:t>
            </w:r>
            <w:r>
              <w:rPr>
                <w:rFonts w:hint="eastAsia" w:ascii="宋体" w:hAnsi="宋体" w:eastAsia="宋体" w:cs="宋体"/>
                <w:i w:val="0"/>
                <w:iCs w:val="0"/>
                <w:color w:val="000000"/>
                <w:kern w:val="0"/>
                <w:sz w:val="18"/>
                <w:szCs w:val="18"/>
                <w:u w:val="none"/>
                <w:lang w:val="en-US" w:eastAsia="zh-CN" w:bidi="ar"/>
              </w:rPr>
              <w:t>，日期</w:t>
            </w:r>
            <w:r>
              <w:rPr>
                <w:rStyle w:val="70"/>
                <w:rFonts w:hint="eastAsia" w:ascii="宋体" w:hAnsi="宋体" w:eastAsia="宋体" w:cs="宋体"/>
                <w:sz w:val="18"/>
                <w:szCs w:val="18"/>
                <w:lang w:val="en-US" w:eastAsia="zh-CN" w:bidi="ar"/>
              </w:rPr>
              <w:t>2025</w:t>
            </w:r>
            <w:r>
              <w:rPr>
                <w:rFonts w:hint="eastAsia" w:ascii="宋体" w:hAnsi="宋体" w:eastAsia="宋体" w:cs="宋体"/>
                <w:i w:val="0"/>
                <w:iCs w:val="0"/>
                <w:color w:val="000000"/>
                <w:kern w:val="0"/>
                <w:sz w:val="18"/>
                <w:szCs w:val="18"/>
                <w:u w:val="none"/>
                <w:lang w:val="en-US" w:eastAsia="zh-CN" w:bidi="ar"/>
              </w:rPr>
              <w:t>年</w:t>
            </w: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月</w:t>
            </w: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日），确认记录了审计对象对发现</w:t>
            </w:r>
            <w:r>
              <w:rPr>
                <w:rStyle w:val="70"/>
                <w:rFonts w:hint="eastAsia" w:ascii="宋体" w:hAnsi="宋体" w:eastAsia="宋体" w:cs="宋体"/>
                <w:sz w:val="18"/>
                <w:szCs w:val="18"/>
                <w:lang w:val="en-US" w:eastAsia="zh-CN" w:bidi="ar"/>
              </w:rPr>
              <w:t>FND-005</w:t>
            </w:r>
            <w:r>
              <w:rPr>
                <w:rFonts w:hint="eastAsia" w:ascii="宋体" w:hAnsi="宋体" w:eastAsia="宋体" w:cs="宋体"/>
                <w:i w:val="0"/>
                <w:iCs w:val="0"/>
                <w:color w:val="000000"/>
                <w:kern w:val="0"/>
                <w:sz w:val="18"/>
                <w:szCs w:val="18"/>
                <w:u w:val="none"/>
                <w:lang w:val="en-US" w:eastAsia="zh-CN" w:bidi="ar"/>
              </w:rPr>
              <w:t>提出的异议、双方于</w:t>
            </w:r>
            <w:r>
              <w:rPr>
                <w:rStyle w:val="70"/>
                <w:rFonts w:hint="eastAsia" w:ascii="宋体" w:hAnsi="宋体" w:eastAsia="宋体" w:cs="宋体"/>
                <w:sz w:val="18"/>
                <w:szCs w:val="18"/>
                <w:lang w:val="en-US" w:eastAsia="zh-CN" w:bidi="ar"/>
              </w:rPr>
              <w:t>2025</w:t>
            </w:r>
            <w:r>
              <w:rPr>
                <w:rFonts w:hint="eastAsia" w:ascii="宋体" w:hAnsi="宋体" w:eastAsia="宋体" w:cs="宋体"/>
                <w:i w:val="0"/>
                <w:iCs w:val="0"/>
                <w:color w:val="000000"/>
                <w:kern w:val="0"/>
                <w:sz w:val="18"/>
                <w:szCs w:val="18"/>
                <w:u w:val="none"/>
                <w:lang w:val="en-US" w:eastAsia="zh-CN" w:bidi="ar"/>
              </w:rPr>
              <w:t>年</w:t>
            </w: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月</w:t>
            </w: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日的讨论协商情况，以及审计人员张某后续的核实工作（补充调取了操作日志</w:t>
            </w:r>
            <w:r>
              <w:rPr>
                <w:rStyle w:val="70"/>
                <w:rFonts w:hint="eastAsia" w:ascii="宋体" w:hAnsi="宋体" w:eastAsia="宋体" w:cs="宋体"/>
                <w:sz w:val="18"/>
                <w:szCs w:val="18"/>
                <w:lang w:val="en-US" w:eastAsia="zh-CN" w:bidi="ar"/>
              </w:rPr>
              <w:t>APP_UserCenter-20250228143025-AUDIT-USER_DEL-0001</w:t>
            </w:r>
            <w:r>
              <w:rPr>
                <w:rFonts w:hint="eastAsia" w:ascii="宋体" w:hAnsi="宋体" w:eastAsia="宋体" w:cs="宋体"/>
                <w:i w:val="0"/>
                <w:iCs w:val="0"/>
                <w:color w:val="000000"/>
                <w:kern w:val="0"/>
                <w:sz w:val="18"/>
                <w:szCs w:val="18"/>
                <w:u w:val="none"/>
                <w:lang w:val="en-US" w:eastAsia="zh-CN" w:bidi="ar"/>
              </w:rPr>
              <w:t>）</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54</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、若双方未达成一致，是否在审计底稿中记录，记录是否可查？</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未决争议是否如实记录。</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1、查阅相关审计底稿，检查是否存在“双方意见分歧点”或“未决事项”的明确记录（对应TC260-PG-20254A 4.2.3.2）；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2、检查分歧记录是否客观、完整，不回避争议。</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查阅了审计底稿DG-018-数据删除机制检查（编号DG-018），确认对于未达成一致的发现FND-007，底稿中已明确标注分歧点：“审计方认为未满足及时删除要求，被审计方认为其30天清理周期已属合理”，记录可查。</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对于审计发现的问题，可根据问题的影响程度、整改代价等因素进行分级排序。审计完成后需要审计对象对审计问题进行正式确认。</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、是否依据</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影响程度</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和</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整改代价</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对审计问题明确分级，并形成优先级排序记录？</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问题分级是否科学且留痕。</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1、查阅机构审计问题分级与优先级排序规则文件（对应TC260-PG-20254A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2、检查本次审计的问题优先级排序表及其排序依据记录。</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发现问题优先级排序规则（文件编号ST-PRI-001）及本次审计的问题优先级排序表（日期2025年3月3日），确认问题已依据“影响程度”（高/中/低）和“整改代价”（高/中/低）明确分级，并形成优先级排序记录（如FND-001定为P0级需立即整改）。</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、是否要求审计对象对分级后的所有问题签署书面确认文件？</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问题分级结果是否获确认。</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1、查阅经审计对象签字确认的包含问题分级和排序的最终清单（对应TC260-PG-20254A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2、检查确认文件是否与沟通会纪要的结论一致。</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查阅了经审计对象签署的“审计问题确认书”（日期2025年3月4日），确认审计对象王某已对分级后的所有问题（FND-001至FND-010）及其优先级签署书面确认文件。</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57</w:t>
            </w:r>
          </w:p>
        </w:tc>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5.4</w:t>
            </w:r>
            <w:r>
              <w:rPr>
                <w:rFonts w:hint="eastAsia" w:ascii="宋体" w:hAnsi="宋体" w:eastAsia="宋体" w:cs="宋体"/>
                <w:i w:val="0"/>
                <w:iCs w:val="0"/>
                <w:color w:val="000000"/>
                <w:kern w:val="0"/>
                <w:sz w:val="18"/>
                <w:szCs w:val="18"/>
                <w:u w:val="none"/>
                <w:lang w:val="en-US" w:eastAsia="zh-CN" w:bidi="ar"/>
              </w:rPr>
              <w:t>审计报告阶段</w:t>
            </w: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5.4.1</w:t>
            </w:r>
            <w:r>
              <w:rPr>
                <w:rFonts w:hint="eastAsia" w:ascii="宋体" w:hAnsi="宋体" w:eastAsia="宋体" w:cs="宋体"/>
                <w:i w:val="0"/>
                <w:iCs w:val="0"/>
                <w:color w:val="000000"/>
                <w:kern w:val="0"/>
                <w:sz w:val="18"/>
                <w:szCs w:val="18"/>
                <w:u w:val="none"/>
                <w:lang w:val="en-US" w:eastAsia="zh-CN" w:bidi="ar"/>
              </w:rPr>
              <w:t>异议解决</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撰写审计报告前，审计人员与审计对象之间应建立异议解决机制，对审计对象提出异议的审计结论应及时进行沟通确认，并将沟通结果和审计结论归档保存。</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、是否有异议解决机制的文件，机制是否明确沟通确认流程？</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异议解决机制是否成文。</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1、查阅机构审计管理制度或质量控制手册中的异议解决章节（对应TC260-PG-20254A 4.2.3.2）；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2、检查制度是否明确了异议提出、沟通、确认、归档的完整流程。</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查阅了个人信息保护合规审计质量控制手册（文件编号###）第8章“异议解决机制”，确认其明确了异议提出、沟通确认、结果归档的完整流程，机制已文件化。</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、审计人员是否及时与审计对象沟通确认异议，沟通记录是否留存？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异议沟通是否及时且留痕。</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1、查阅异议沟通记录的时间戳，判断审计组是否在规定时间内（如制度要求）响应并沟通（对应TC260-PG-20254A 4.2.3.2）；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2、检查沟通记录内容是否完整，是否包含双方观点及处理建议。</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异议沟通邮件记录（日期2025年3月5日，发件人：王某，收件人：张某）及后续的异议沟通会议纪要（日期2025年3月6日），确认审计人员张某在收到异议后1个工作日内即与审计对象王某沟通确认，沟通记录完整留存。</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59</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、沟通结果和审计结论是否归档保存，归档记录是否可查？</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异议处理结果是否归档。</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1、检查审计档案目录，确认异议相关文件（如异议函、沟通记录、最终结论）已全部归档（对应TC260-PG-20254A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2、抽查异议文件，核对归档内容与处理过程的一致性。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查阅了审计档案目录（版本V1.2，更新日期2025年3月10日），确认沟通结果（会议纪要）和最终审计结论（审计报告终稿）均已归入审计档案，归档记录完整，在档案管理系统中可查（档案编号###）。</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60</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5.4.2</w:t>
            </w:r>
            <w:r>
              <w:rPr>
                <w:rFonts w:hint="eastAsia" w:ascii="宋体" w:hAnsi="宋体" w:eastAsia="宋体" w:cs="宋体"/>
                <w:i w:val="0"/>
                <w:iCs w:val="0"/>
                <w:color w:val="000000"/>
                <w:kern w:val="0"/>
                <w:sz w:val="18"/>
                <w:szCs w:val="18"/>
                <w:u w:val="none"/>
                <w:lang w:val="en-US" w:eastAsia="zh-CN" w:bidi="ar"/>
              </w:rPr>
              <w:t>撰写审计报告</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审计人员应在审计完成后撰写审计报告。审计报告是发表审计意见的书面文件，应包括但不限于审计概况、审计依据、审计结论、审计发现、审计意见、审计建议等。</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、是否有审计报告撰写模板，模板是否涵盖上述所有内容？</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报告撰写是否标准化。</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1、查阅机构审计报告模板，核对是否包含标准要求的全部章节（审计概况、依据、结论、发现、意见、建议等）（对应TC260-PG-20254A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2、检查模板版本是否受控，是否为最新有效版本。</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查阅了个人信息保护审计报告模板（版本V4.0，文件编号TMP-RPT-001），确认模板严格规定了审计概况、依据、结论、发现、意见、建议等章节，涵盖标准要求的全部内容。</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61</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、审计人员是否按照要求撰写审计报告，报告内容是否完整？</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报告内容是否符合模板要求。</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1、将出具的审计报告与机构模板进行对比，检查所有要求章节是否均有内容填充（对应TC260-PG-20254A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2、检查报告内容是否完整，无缺项、漏项。</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查阅了本次个人信息保护合规审计报告（终稿，报告编号###，出具日期2025年3月8日），确认报告严格使用模板V4.0，且所有要求章节（从审计概况到审计建议）均有具体内容，无缺失章节。</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62</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、审计报告是否经过审核，审核记录是否留存？</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报告是否经过审核流程。</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1、查阅审计报告的审核流转单、审批记录或电子审阅痕迹（对应TC260-PG-20254A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2、确认审核人员独立于报告编制人员，且具备相应资质（对应TC260-PG-20254A 4.4）。</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查阅了审计报告审核流转单（编号REV-2025-01），确认报告于2025年3月7日由编制人李某提交，经审核人张某于3月8日审核通过（批注：“报告内容完整，结论适当”），审核记录完整留存。</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审计概况：对个人信息保护合规审计项目总体情况的介绍和说明，应包括以下内容：</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专业机构信息。描述专业机构的名称、执行审计人员、审计执行期间、审计执行地点等。</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审计对象信息。描述审计对象的基本情况，包括但不限于个人信息处理者的名称、性质、规模、经营范围或职责范围、主要业务活动及目标、组织结构、管理方式、员工数量、管理人员、内部控制和信息系统情况，具备的资质、认证、以往接受的内外部监督检查等。</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审计背景。描述本次审计的背景等。</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审计目标范围。描述本次审计期望达到的目标、覆盖的时间范围、组织范围、业务范围和审计领域等。</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主要审计内容和重点。简要列明审计主要内容及重点。</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审计程序和方法。描述本次审计的程序以及所采用的审计方法和技术手段等。</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、审计报告是否完整涵盖专业机构信息（如名称、人员签名、执行时间地点）？</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报告责任主体信息是否完整。</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1、检查审计报告首页或签章页，确认专业机构名称、执行人员签名、审计期间、地点等信息完整（对应TC260-PG-20254A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2、核对签名人员是否为审计方案中指定人员。</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查阅了个人信息保护合规审计报告（报告编号RPT-2025-01）首页及签章页，确认其清晰标注了执行机构“某某审计部”、执行人员张某、李某（签名）、审计执行期间2025-2-1-3.8、审计执行地点“北京、上海“。</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64</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、是否附机构资质证明文件？</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专业机构资质是否可证。</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1、检查审计报告附件清单及所附的机构营业执照、相关资质证书等文件（对应TC260-PG-20254A 4.1）；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2、确认资质文件在审计执行期间有效。</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查阅了审计报告附件清单，确认附有专业机构“**检测中心”的营业执照及法人证书复印件（均在有效期内），资质证明文件齐全。</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、是否已完整获取并书面确认审计对象的基础信息与运营全貌，涵盖其名称、性质、规模、业务</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职责范围、组织架构、管理方式、人员构成（含员工及管理层数量）、资质、认证、内控与信息系统现状，以及近三年内外部监督检查记录？</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审计对象信息是否全面准确。</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1、将报告中“审计对象信息”章节内容与审计对象提供的确认文件或公开信息进行核对（对应TC260-PG-20254A 4.3.b）；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2、检查信息获取途径记录（如访谈、调档），确认信息经过验证。</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1.2节“审计对象信息”，确认其内容与经对方确认的审计对象基本信息表（编号###）一致，完整涵盖了公司名称、性质、规模、业务范围、组织架构、管理方式、员工数量、管理层、内控与信息系统现状、资质认证（如DSM、PIP、ISO27001）及近三年内外部监督检查记录。</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、审计背景描述是否明确审计触发原因（如法规更新、年度计划、投诉事件）？是否与审计目标一致？</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审计背景与目标是否逻辑自洽。</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1、阅读审计报告“审计背景”与“审计目标”部分，判断两者逻辑是否自洽（对应TC260-PG-20254A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2、检查背景描述是否具体（如“应监管要求”、“年度审计计划第X项”）。</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查阅了审计报告第1.3节“审计背景”，确认其明确描述审计触发原因为“响应《个人信息保护法》第四十四条要求及公司年度审计计划”，该背景描述与第1.4节“审计目标”（验证合规性）保持一致。</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67</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5</w:t>
            </w:r>
            <w:r>
              <w:rPr>
                <w:rFonts w:hint="eastAsia" w:ascii="宋体" w:hAnsi="宋体" w:eastAsia="宋体" w:cs="宋体"/>
                <w:i w:val="0"/>
                <w:iCs w:val="0"/>
                <w:color w:val="000000"/>
                <w:kern w:val="0"/>
                <w:sz w:val="18"/>
                <w:szCs w:val="18"/>
                <w:u w:val="none"/>
                <w:lang w:val="en-US" w:eastAsia="zh-CN" w:bidi="ar"/>
              </w:rPr>
              <w:t>、目标范围是否量化说明（如</w:t>
            </w:r>
            <w:r>
              <w:rPr>
                <w:rStyle w:val="70"/>
                <w:rFonts w:hint="eastAsia" w:ascii="宋体" w:hAnsi="宋体" w:eastAsia="宋体" w:cs="宋体"/>
                <w:sz w:val="18"/>
                <w:szCs w:val="18"/>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覆盖</w:t>
            </w:r>
            <w:r>
              <w:rPr>
                <w:rStyle w:val="70"/>
                <w:rFonts w:hint="eastAsia" w:ascii="宋体" w:hAnsi="宋体" w:eastAsia="宋体" w:cs="宋体"/>
                <w:sz w:val="18"/>
                <w:szCs w:val="18"/>
                <w:lang w:val="en-US" w:eastAsia="zh-CN" w:bidi="ar"/>
              </w:rPr>
              <w:t xml:space="preserve"> 2024 </w:t>
            </w:r>
            <w:r>
              <w:rPr>
                <w:rFonts w:hint="eastAsia" w:ascii="宋体" w:hAnsi="宋体" w:eastAsia="宋体" w:cs="宋体"/>
                <w:i w:val="0"/>
                <w:iCs w:val="0"/>
                <w:color w:val="000000"/>
                <w:kern w:val="0"/>
                <w:sz w:val="18"/>
                <w:szCs w:val="18"/>
                <w:u w:val="none"/>
                <w:lang w:val="en-US" w:eastAsia="zh-CN" w:bidi="ar"/>
              </w:rPr>
              <w:t>年</w:t>
            </w:r>
            <w:r>
              <w:rPr>
                <w:rStyle w:val="70"/>
                <w:rFonts w:hint="eastAsia" w:ascii="宋体" w:hAnsi="宋体" w:eastAsia="宋体" w:cs="宋体"/>
                <w:sz w:val="18"/>
                <w:szCs w:val="18"/>
                <w:lang w:val="en-US" w:eastAsia="zh-CN" w:bidi="ar"/>
              </w:rPr>
              <w:t xml:space="preserve"> 1 </w:t>
            </w:r>
            <w:r>
              <w:rPr>
                <w:rFonts w:hint="eastAsia" w:ascii="宋体" w:hAnsi="宋体" w:eastAsia="宋体" w:cs="宋体"/>
                <w:i w:val="0"/>
                <w:iCs w:val="0"/>
                <w:color w:val="000000"/>
                <w:kern w:val="0"/>
                <w:sz w:val="18"/>
                <w:szCs w:val="18"/>
                <w:u w:val="none"/>
                <w:lang w:val="en-US" w:eastAsia="zh-CN" w:bidi="ar"/>
              </w:rPr>
              <w:t>月</w:t>
            </w:r>
            <w:r>
              <w:rPr>
                <w:rStyle w:val="70"/>
                <w:rFonts w:hint="eastAsia" w:ascii="宋体" w:hAnsi="宋体" w:eastAsia="宋体" w:cs="宋体"/>
                <w:sz w:val="18"/>
                <w:szCs w:val="18"/>
                <w:lang w:val="en-US" w:eastAsia="zh-CN" w:bidi="ar"/>
              </w:rPr>
              <w:t xml:space="preserve"> - 12 </w:t>
            </w:r>
            <w:r>
              <w:rPr>
                <w:rFonts w:hint="eastAsia" w:ascii="宋体" w:hAnsi="宋体" w:eastAsia="宋体" w:cs="宋体"/>
                <w:i w:val="0"/>
                <w:iCs w:val="0"/>
                <w:color w:val="000000"/>
                <w:kern w:val="0"/>
                <w:sz w:val="18"/>
                <w:szCs w:val="18"/>
                <w:u w:val="none"/>
                <w:lang w:val="en-US" w:eastAsia="zh-CN" w:bidi="ar"/>
              </w:rPr>
              <w:t>月期间，北京、上海两地分支机构的自动化决策业务</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）？是否存在范围遗漏风险？</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审计范围是否具体、可衡量。</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1、检查审计报告“审计范围”描述，是否使用明确的时间、组织、业务边界进行量化界定（对应TC260-PG-20254A 4.3.b）；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2、评估范围描述是否存在歧义或遗漏风险。</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1.4节“审计目标范围”，确认其量化说明了覆盖时间范围“2024年1月1日至2024年12月31日”，组织范围“总公司及北京、上海分公司”，业务范围“用户注册、电商交易、精准营销”，涉及个人信息收集、使用、存储、共享、删除，范围界定清晰无歧义。</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6</w:t>
            </w:r>
            <w:r>
              <w:rPr>
                <w:rFonts w:hint="eastAsia" w:ascii="宋体" w:hAnsi="宋体" w:eastAsia="宋体" w:cs="宋体"/>
                <w:i w:val="0"/>
                <w:iCs w:val="0"/>
                <w:color w:val="000000"/>
                <w:kern w:val="0"/>
                <w:sz w:val="18"/>
                <w:szCs w:val="18"/>
                <w:u w:val="none"/>
                <w:lang w:val="en-US" w:eastAsia="zh-CN" w:bidi="ar"/>
              </w:rPr>
              <w:t>、主要审计内容是否对应高风险场景（如数据跨境、敏感信息共享）？是否列明了审计主要内容及重点？重点是否与以往整改问题关联？</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审计重点是否聚焦风险与历史问题。</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1、查阅报告“主要审计内容和重点”章节，与机构高风险场景清单及审计对象历史整改问题进行比对（对应TC260-PG-20254A 4.3.b）；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2、确认审计重点聚焦于数据跨境、自动化决策等高风险领域。</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查阅了审计报告第1.5节“主要审计内容和重点”，确认其列出的内容与高风险场景（如数据跨境S001、敏感信息共享S003）对应，重点审计领域（如“第三方SDK管理”）与2024年审计整改问题（F2024-005）相关联。</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69</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7</w:t>
            </w:r>
            <w:r>
              <w:rPr>
                <w:rFonts w:hint="eastAsia" w:ascii="宋体" w:hAnsi="宋体" w:eastAsia="宋体" w:cs="宋体"/>
                <w:i w:val="0"/>
                <w:iCs w:val="0"/>
                <w:color w:val="000000"/>
                <w:kern w:val="0"/>
                <w:sz w:val="18"/>
                <w:szCs w:val="18"/>
                <w:u w:val="none"/>
                <w:lang w:val="en-US" w:eastAsia="zh-CN" w:bidi="ar"/>
              </w:rPr>
              <w:t>、审计方法是否说明工具名称（如</w:t>
            </w:r>
            <w:r>
              <w:rPr>
                <w:rStyle w:val="70"/>
                <w:rFonts w:hint="eastAsia" w:ascii="宋体" w:hAnsi="宋体" w:eastAsia="宋体" w:cs="宋体"/>
                <w:sz w:val="18"/>
                <w:szCs w:val="18"/>
                <w:lang w:val="en-US" w:eastAsia="zh-CN" w:bidi="ar"/>
              </w:rPr>
              <w:t>APP</w:t>
            </w:r>
            <w:r>
              <w:rPr>
                <w:rFonts w:hint="eastAsia" w:ascii="宋体" w:hAnsi="宋体" w:eastAsia="宋体" w:cs="宋体"/>
                <w:i w:val="0"/>
                <w:iCs w:val="0"/>
                <w:color w:val="FF0000"/>
                <w:kern w:val="0"/>
                <w:sz w:val="18"/>
                <w:szCs w:val="18"/>
                <w:u w:val="none"/>
                <w:lang w:val="en-US" w:eastAsia="zh-CN" w:bidi="ar"/>
              </w:rPr>
              <w:t>个人信息保护</w:t>
            </w:r>
            <w:r>
              <w:rPr>
                <w:rFonts w:hint="eastAsia" w:ascii="宋体" w:hAnsi="宋体" w:eastAsia="宋体" w:cs="宋体"/>
                <w:i w:val="0"/>
                <w:iCs w:val="0"/>
                <w:color w:val="000000"/>
                <w:kern w:val="0"/>
                <w:sz w:val="18"/>
                <w:szCs w:val="18"/>
                <w:u w:val="none"/>
                <w:lang w:val="en-US" w:eastAsia="zh-CN" w:bidi="ar"/>
              </w:rPr>
              <w:t>检测工具）？现场审计时长、非现场数据抽样比例是否记录并可验证？</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审计方法是否具体、可验证。</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1、查阅报告“审计程序和方法”章节，确认是否说明了使用的具体工具名称、现场审计人天、非现场抽样比例等（对应TC260-PG-20254A 4.5.2）；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2、检查工具使用记录或抽样记录，验证报告描述的准确性。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查阅了审计报告第1.6“审计程序和方法”，确认其说明了使用的工具名称（如“APP隐私合规检测工具V3.0”）、现场审计时长（累计5人日）、非现场数据抽样比例（用户日志按5%随机抽样），记录具体并可验证。</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70</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t>审计依据：实施个人信息保护合规审计所依据的相关法律、行政法规、政策文件、国家标准等。</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、审计报告中是否明确列明所依据的法律法规、部门规章、规范性文件及国家标准（如《个人信息保护法》、</w:t>
            </w:r>
            <w:r>
              <w:rPr>
                <w:rStyle w:val="70"/>
                <w:rFonts w:hint="eastAsia" w:ascii="宋体" w:hAnsi="宋体" w:eastAsia="宋体" w:cs="宋体"/>
                <w:sz w:val="18"/>
                <w:szCs w:val="18"/>
                <w:lang w:val="en-US" w:eastAsia="zh-CN" w:bidi="ar"/>
              </w:rPr>
              <w:t>GB/T 35273</w:t>
            </w:r>
            <w:r>
              <w:rPr>
                <w:rFonts w:hint="eastAsia" w:ascii="宋体" w:hAnsi="宋体" w:eastAsia="宋体" w:cs="宋体"/>
                <w:i w:val="0"/>
                <w:iCs w:val="0"/>
                <w:color w:val="000000"/>
                <w:kern w:val="0"/>
                <w:sz w:val="18"/>
                <w:szCs w:val="18"/>
                <w:u w:val="none"/>
                <w:lang w:val="en-US" w:eastAsia="zh-CN" w:bidi="ar"/>
              </w:rPr>
              <w:t>《信息安全技术</w:t>
            </w:r>
            <w:r>
              <w:rPr>
                <w:rStyle w:val="70"/>
                <w:rFonts w:hint="eastAsia" w:ascii="宋体" w:hAnsi="宋体" w:eastAsia="宋体" w:cs="宋体"/>
                <w:sz w:val="18"/>
                <w:szCs w:val="18"/>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个人信息安全规范》等）？</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审计依据是否明确列示。</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1、查阅审计报告“审计依据”章节，确认是否详细列明了所依据的法律法规、部门规章、规范性文件及国家标准等（对应TC260-PG-20254A 4.3.a）；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2、核对依据清单与机构法律法规标准清单的符合性。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查阅了审计报告第2章“审计依据”，确认其明确列明了《个人信息保护法》、《网络安全法》、GB/T 35273《信息安全技术—个人信息安全规范》等法律法规、部门规章、规范性文件及国家标准，依据详实。</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71</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、所列依据是否与审计范围直接相关且引用具体条款</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标准条目？</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审计依据是否精准关联。</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1、抽样核对报告中审计发现所引用的具体法规条款，与“审计依据”章节所列是否匹配（对应TC260-PG-20254A 4.3.a）；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2、检查是否存在无关或泛化的依据引用；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3、抽查2-3个审计发现，要求审计组追溯其从识别现象/匹配法规条款 /形成定性结论的全过程思维记录或讨论纪要，验证其将法规知识应用于具体场景的分析能力。</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抽样核对了报告第4章“审计发现”中FND-001（违规收集）与其在第2章引用的《个人信息保护法》第13条，确认所列依据与审计范围直接相关且引用具体条款。</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72</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审计过程：从审计开始到结束的过程中，审计人员所采取的系统性工作步骤。</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、审计报告是否完整描述从启动到收尾的系统性步骤（如计划、执行、复核、报告）？</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审计过程描述是否完整。</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1、阅读报告“审计过程”章节，判断其是否系统、完整地描述了从启动到收尾的各阶段工作（对应TC260-PG-20254A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2、检查描述是否与机构标准的审计流程一致。</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查阅了审计报告第3章“审计过程”，确认其完整描述了从审计准备（计划、组队、培训）、审计实施（通知、取证、底稿）、审计报告（撰写、评审、交付）到问题跟踪的系统性步骤。</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、是否留存支持性文档（如流程表、工作日志）证明步骤执行与记录一致性？</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审计过程是否可追溯。</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1、抽查审计工作日志、周报等项目管理文档，与报告描述的审计过程进行核对（对应TC260-PG-20254A 4.2.1.e）；</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2、确认支持性文档能印证报告描述的关键节点和耗时。</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查阅了审计项目工作日志（日志编号LOG-2025）及审计过程关键节点记录表，确认其支持性文档与报告第3章描述的过程步骤在时间和内容上保持一致。</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74</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d)</w:t>
            </w:r>
            <w:r>
              <w:rPr>
                <w:rFonts w:hint="eastAsia" w:ascii="宋体" w:hAnsi="宋体" w:eastAsia="宋体" w:cs="宋体"/>
                <w:i w:val="0"/>
                <w:iCs w:val="0"/>
                <w:color w:val="000000"/>
                <w:kern w:val="0"/>
                <w:sz w:val="18"/>
                <w:szCs w:val="18"/>
                <w:u w:val="none"/>
                <w:lang w:val="en-US" w:eastAsia="zh-CN" w:bidi="ar"/>
              </w:rPr>
              <w:t>审计结论：根据已查明的事实，对审计对象涉及个人信息处理活动等方面的合规性、适当性、有效性作出的评价。</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、审计结论是否对合规情况、审计发现问题进行总结</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是否有总结性结论。</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1、查阅审计报告“审计结论”部分，检查是否对合规状态进行了分级评价（符合/不符合/待改进），不符合项是否明确违反的具体条款（对应TC260-PG-20254A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2、检查结论的严谨性，避免使用模糊表述。</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查阅了审计报告第4章“审计结论”，确认其合规性评价区分了“符合”、“不符合”、“待改进”级别，不符合项如FND-001明确违反《个人信息保护法》第13条，评价维度清晰。</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、适当性评价是否考量业务合理性（如自动化决策透明度是否匹配用户权益）？</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是否评价控制的适当性。</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1、阅读审计结论，查找关于控制措施“适当性”或“业务合理性”的评价表述（对应TC260-PG-20254A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2、检查该评价是否基于业务场景和用户权益的具体分析。</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查阅了审计报告第4章“审计结论”中关于“适当性”的评价部分，确认其考量了业务合理性，例如评价“自动化决策的透明度措施与保障用户权益的需求基本匹配“。</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、有效性评价是否结合安全事件发生率、投诉处理闭环率等数据？</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是否评价控制的有效性。</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1、检查审计结论中是否引用了安全事件发生率、投诉处理闭环率等量化数据来支撑有效性评价（对应TC260-PG-20254A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2、核对引用数据的来源和准确性。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查阅了审计报告第4章“审计结论”中关于“有效性”的评价部分，确认其结合了量化指标，如引用“近一年无重大个人信息安全事件”、“用户投诉处理平均时长2.1天，闭环率98%”等数据。</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77</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、结论是否经审计组集体讨论通过？不同意见是否在底稿中留存记录？</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结论形成过程是否民主且留痕。</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1、查阅关于审计结论形成的内部讨论会纪要，确认结论经过集体讨论（对应TC260-PG-20254A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2、检查底稿中是否记录了讨论中的不同意见（如有）。</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查阅了审计结论讨论会纪要（日期2025年3月6日），确认审计结论经审计组张某、李某、王某集体讨论通过，对于个别成员关于FND-008风险等级的不同意见，已在底稿DG-020的备注栏中留存记录。</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e)</w:t>
            </w:r>
            <w:r>
              <w:rPr>
                <w:rFonts w:hint="eastAsia" w:ascii="宋体" w:hAnsi="宋体" w:eastAsia="宋体" w:cs="宋体"/>
                <w:i w:val="0"/>
                <w:iCs w:val="0"/>
                <w:color w:val="000000"/>
                <w:kern w:val="0"/>
                <w:sz w:val="18"/>
                <w:szCs w:val="18"/>
                <w:u w:val="none"/>
                <w:lang w:val="en-US" w:eastAsia="zh-CN" w:bidi="ar"/>
              </w:rPr>
              <w:t>审计发现：对审计对象涉及个人信息处理活动等方面所发现的主要合规问题的事实、定性、原因、后果或影响等。</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、问题描述是否包含具体场景（如</w:t>
            </w:r>
            <w:r>
              <w:rPr>
                <w:rStyle w:val="70"/>
                <w:rFonts w:hint="eastAsia" w:ascii="宋体" w:hAnsi="宋体" w:eastAsia="宋体" w:cs="宋体"/>
                <w:sz w:val="18"/>
                <w:szCs w:val="18"/>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某</w:t>
            </w:r>
            <w:r>
              <w:rPr>
                <w:rStyle w:val="70"/>
                <w:rFonts w:hint="eastAsia" w:ascii="宋体" w:hAnsi="宋体" w:eastAsia="宋体" w:cs="宋体"/>
                <w:sz w:val="18"/>
                <w:szCs w:val="18"/>
                <w:lang w:val="en-US" w:eastAsia="zh-CN" w:bidi="ar"/>
              </w:rPr>
              <w:t xml:space="preserve"> APP </w:t>
            </w:r>
            <w:r>
              <w:rPr>
                <w:rFonts w:hint="eastAsia" w:ascii="宋体" w:hAnsi="宋体" w:eastAsia="宋体" w:cs="宋体"/>
                <w:i w:val="0"/>
                <w:iCs w:val="0"/>
                <w:color w:val="000000"/>
                <w:kern w:val="0"/>
                <w:sz w:val="18"/>
                <w:szCs w:val="18"/>
                <w:u w:val="none"/>
                <w:lang w:val="en-US" w:eastAsia="zh-CN" w:bidi="ar"/>
              </w:rPr>
              <w:t>在用户未授权时收集通讯录，涉及</w:t>
            </w:r>
            <w:r>
              <w:rPr>
                <w:rStyle w:val="70"/>
                <w:rFonts w:hint="eastAsia" w:ascii="宋体" w:hAnsi="宋体" w:eastAsia="宋体" w:cs="宋体"/>
                <w:sz w:val="18"/>
                <w:szCs w:val="18"/>
                <w:lang w:val="en-US" w:eastAsia="zh-CN" w:bidi="ar"/>
              </w:rPr>
              <w:t xml:space="preserve"> 50 </w:t>
            </w:r>
            <w:r>
              <w:rPr>
                <w:rFonts w:hint="eastAsia" w:ascii="宋体" w:hAnsi="宋体" w:eastAsia="宋体" w:cs="宋体"/>
                <w:i w:val="0"/>
                <w:iCs w:val="0"/>
                <w:color w:val="000000"/>
                <w:kern w:val="0"/>
                <w:sz w:val="18"/>
                <w:szCs w:val="18"/>
                <w:u w:val="none"/>
                <w:lang w:val="en-US" w:eastAsia="zh-CN" w:bidi="ar"/>
              </w:rPr>
              <w:t>万用户数据</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）？是否附截图、日志等证据编号？</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问题描述是否具体、可追溯。</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1、抽样阅读审计发现描述，检查是否有一定原则性，包含具体场景、涉及的数据量/用户量等（对应TC260-PG-20254A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2、检查是否附有截图、日志等证据的索引编号。</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查阅了审计报告第5章“审计发现”中FND-002的问题描述，确认其包含具体场景（“某APP在用户未授权时收集设备MAC地址，涉及2024年约10万用户”），并附有证据截图（EV-002-01）日志信息。</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79</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2、定性是否准确引用法规（如 “违反《个人信息保护法》第 13 条合法原则”）？</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问题定性是否准确援引法规。</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1、检查审计发现中的“定性”部分，逐项核对法规引用的准确性（法规名称、条款号、内容）（对应TC260-PG-20254A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2、避免使用“违反相关规定”等模糊定性。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查阅了审计报告第5章“审计发现”中FND-002的定性部分，确认其准确引用法规“违反《个人信息保护法》第13条'取得个人同意'的规定”。</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80</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、原因分析是否区分管理漏洞（如制度缺失）与技术缺陷（如系统权限未分级）？</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原因分析是否深入根本。</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1、阅读审计发现中的“原因分析”部分，判断其是否区分了管理、技术、流程等根本原因（对应TC260-PG-20254A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2、检查原因分析是否深入，而非仅停留在表面现象。</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查阅了审计报告第5章“审计发现”中FND-004的原因分析，确认其区分了管理漏洞（“缺乏数据分类分级制度”）与技术缺陷（“后台系统未对敏感个人信息访问进行强制审批”）。</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81</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、后果评估是否量化影响（如</w:t>
            </w:r>
            <w:r>
              <w:rPr>
                <w:rStyle w:val="70"/>
                <w:rFonts w:hint="eastAsia" w:ascii="宋体" w:hAnsi="宋体" w:eastAsia="宋体" w:cs="宋体"/>
                <w:sz w:val="18"/>
                <w:szCs w:val="18"/>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数据泄露风险可能导致罚款金额为上一年度营业额的</w:t>
            </w:r>
            <w:r>
              <w:rPr>
                <w:rStyle w:val="70"/>
                <w:rFonts w:hint="eastAsia" w:ascii="宋体" w:hAnsi="宋体" w:eastAsia="宋体" w:cs="宋体"/>
                <w:sz w:val="18"/>
                <w:szCs w:val="18"/>
                <w:lang w:val="en-US" w:eastAsia="zh-CN" w:bidi="ar"/>
              </w:rPr>
              <w:t xml:space="preserve"> X%”</w:t>
            </w:r>
            <w:r>
              <w:rPr>
                <w:rFonts w:hint="eastAsia" w:ascii="宋体" w:hAnsi="宋体" w:eastAsia="宋体" w:cs="宋体"/>
                <w:i w:val="0"/>
                <w:iCs w:val="0"/>
                <w:color w:val="000000"/>
                <w:kern w:val="0"/>
                <w:sz w:val="18"/>
                <w:szCs w:val="18"/>
                <w:u w:val="none"/>
                <w:lang w:val="en-US" w:eastAsia="zh-CN" w:bidi="ar"/>
              </w:rPr>
              <w:t>）？</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后果评估是否尽可能量化。</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1、检查审计发现中“影响或后果”分析部分，关注其是否尽可能进行了量化评估（如财务影响、处罚风险比例）（对应TC260-PG-20254A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2、评估量化方法的合理性。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5章“审计发现”中FND-003的后果评估，确认其量化了影响：“此问题可能导致监管罚款，按《个人信息保护法》第六十六条，最高可处上一年度营业额百分之五以下罚款，以公司营业额计，潜在罚款金额可达人民币X万元”。</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82</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5</w:t>
            </w:r>
            <w:r>
              <w:rPr>
                <w:rFonts w:hint="eastAsia" w:ascii="宋体" w:hAnsi="宋体" w:eastAsia="宋体" w:cs="宋体"/>
                <w:i w:val="0"/>
                <w:iCs w:val="0"/>
                <w:color w:val="000000"/>
                <w:kern w:val="0"/>
                <w:sz w:val="18"/>
                <w:szCs w:val="18"/>
                <w:u w:val="none"/>
                <w:lang w:val="en-US" w:eastAsia="zh-CN" w:bidi="ar"/>
              </w:rPr>
              <w:t>、是否关联行业案例（如类似违规事件的处罚结果）？</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是否参考外部案例以佐证风险。</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1、查阅审计发现或报告附件，寻找对行业类似违规案例的引用，以佐证风险严重性（对应TC260-PG-20254A 4.3.h）；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2、检查案例引用是否相关、时效性强。</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查阅了审计报告第5章“审计发现”中FND-001的附件，确认其关联了行业案例“参考某公司因类似违规收集行为被网信部门处以人民币50万元罚款的公开处罚决定（XX网信办罚决字〔2024〕001号）”。</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f)</w:t>
            </w:r>
            <w:r>
              <w:rPr>
                <w:rFonts w:hint="eastAsia" w:ascii="宋体" w:hAnsi="宋体" w:eastAsia="宋体" w:cs="宋体"/>
                <w:i w:val="0"/>
                <w:iCs w:val="0"/>
                <w:color w:val="000000"/>
                <w:kern w:val="0"/>
                <w:sz w:val="18"/>
                <w:szCs w:val="18"/>
                <w:u w:val="none"/>
                <w:lang w:val="en-US" w:eastAsia="zh-CN" w:bidi="ar"/>
              </w:rPr>
              <w:t>审计意见：针对审计发现的审计对象在个人信息处理活动等方面存在的违反法律、行政法规的情况，提出审计处理意见，或者建议个人信息处理者管理层作出处理意见。</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、处理意见是否明确整改期限（如</w:t>
            </w:r>
            <w:r>
              <w:rPr>
                <w:rStyle w:val="70"/>
                <w:rFonts w:hint="eastAsia" w:ascii="宋体" w:hAnsi="宋体" w:eastAsia="宋体" w:cs="宋体"/>
                <w:sz w:val="18"/>
                <w:szCs w:val="18"/>
                <w:lang w:val="en-US" w:eastAsia="zh-CN" w:bidi="ar"/>
              </w:rPr>
              <w:t xml:space="preserve"> “30 </w:t>
            </w:r>
            <w:r>
              <w:rPr>
                <w:rFonts w:hint="eastAsia" w:ascii="宋体" w:hAnsi="宋体" w:eastAsia="宋体" w:cs="宋体"/>
                <w:i w:val="0"/>
                <w:iCs w:val="0"/>
                <w:color w:val="000000"/>
                <w:kern w:val="0"/>
                <w:sz w:val="18"/>
                <w:szCs w:val="18"/>
                <w:u w:val="none"/>
                <w:lang w:val="en-US" w:eastAsia="zh-CN" w:bidi="ar"/>
              </w:rPr>
              <w:t>日内完成隐私政策修订</w:t>
            </w:r>
            <w:r>
              <w:rPr>
                <w:rStyle w:val="70"/>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处理意见是否具时限性。</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1、查阅审计意见部分，检查是否为每个问题设定了明确的整改截止日期（对应TC260-PG-20254A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2、检查日期设定是否合理，考虑了问题复杂度和资源。</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查阅了审计报告第6章“审计意见”中针对FND-001的处理意见，确认其明确要求整改期限：“应在30日内（即2025年4月7日前）完成隐私政策修订并重新获取用户同意”。</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84</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、涉及行政处罚风险的，是否建议提前启动合规补救措施？</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是否提示重大合规风险及补救。</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1、阅读针对高风险问题的审计意见，检查是否明确建议立即启动合规补救措施以降低处罚风险（对应TC260-PG-20254A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2、检查建议的补救措施是否具体、可操作。</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6章“审计意见”中针对高风险问题FND-003（未成年人个人信息处理规则缺失）的结论，确认其建议“立即暂停涉及未成年人的个性化推荐功能，并在产品设计中强制嵌入监护人同意机制，于15日内完成整改”，以切实履行《未成年人保护法》与《个人信息保护法》规定的特殊保护义务。</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、对管理层的建议是否区分短期措施（如立即停止违规收集）与长期机制（如建立年度合规培训计划）？是否明确责任部门和验收标准？</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管理建议是否分层、可落地。</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1、查阅审计建议部分，检查是否区分了短期紧急措施和长期机制建设，并明确责任部门和验收标准（对应TC260-PG-20254A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2、检查建议的可行性，是否超出审计对象能力范围。</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6章“审计意见”中对管理层的建议部分，确认其区分了短期措施（“立即停止未经明示同意收集MAC地址的行为”）与长期机制（“建立年度全员个人信息保护培训计划，责任部门：人力资源部，验收标准：培训覆盖率100%，考核通过率95%以上”）。</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、是否记录与管理层沟通审计意见的过程（如会议纪要、邮件确认）？</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与管理层的意见沟通是否留痕。</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1、查阅与管理层就审计意见进行沟通的会议纪要或邮件往来记录（对应TC260-PG-20254A 4.2.1.i）；</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2、检查沟通记录是否体现了管理层的反馈和最终共识。</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查阅了审计意见沟通会纪要（日期2025年3月7日）及相关邮件往来（2025.3.7-3.8），确认审计意见在正式写入报告前已与管理层王某进行沟通，过程记录完整。</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87</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g)</w:t>
            </w:r>
            <w:r>
              <w:rPr>
                <w:rFonts w:hint="eastAsia" w:ascii="宋体" w:hAnsi="宋体" w:eastAsia="宋体" w:cs="宋体"/>
                <w:i w:val="0"/>
                <w:iCs w:val="0"/>
                <w:color w:val="000000"/>
                <w:kern w:val="0"/>
                <w:sz w:val="18"/>
                <w:szCs w:val="18"/>
                <w:u w:val="none"/>
                <w:lang w:val="en-US" w:eastAsia="zh-CN" w:bidi="ar"/>
              </w:rPr>
              <w:t>审计建议：针对审计发现的主要问题，在分析原因和影响的基础上，给出有针对性的审计建议。</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、审计建议是否与审计发现一一对应（如针对数据跨境问题建议实施安全评估）？</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建议与发现是否紧密挂钩。</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1、在审计报告中建立“审计发现/审计建议”映射关系表，检查每条建议是否都能明确追溯至一个或多个具体发现（对应TC260-PG-20254A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2、避免出现无对应发现的空泛建议。</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查阅了审计报告第7章“审计建议”，确认其与第5章“审计发现”一一对应，例如针对发现FND-003（数据跨境）的建议为“实施数据出境安全评估并于3个月内完成”。</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、是否提供可行性方案（如推荐停止收集、缩小处理范围、补充签署协议、增加保护措施、完善策略配置、上报有关主管监管部门等）？</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建议是否具体、可行。</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1、阅读审计建议，评估其是否提供了具体的可行性方案（如“停止收集XX字段”、“补充签署数据出境协议”）（对应TC260-PG-20254A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2、检查建议是否具备可操作性，而非原则性描述。</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查阅了审计报告第7章“审计建议”中针对FND-005（过度收集）的建议，确认其提供了具体的整改方案：“建议停止收集用户的设备SN字段，若业务必需，则应弹出提示明确告知用户并获取单独同意”。</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89</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、是否区分优先级（如高风险问题建议</w:t>
            </w:r>
            <w:r>
              <w:rPr>
                <w:rStyle w:val="70"/>
                <w:rFonts w:hint="eastAsia" w:ascii="宋体" w:hAnsi="宋体" w:eastAsia="宋体" w:cs="宋体"/>
                <w:sz w:val="18"/>
                <w:szCs w:val="18"/>
                <w:lang w:val="en-US" w:eastAsia="zh-CN" w:bidi="ar"/>
              </w:rPr>
              <w:t xml:space="preserve"> 1 </w:t>
            </w:r>
            <w:r>
              <w:rPr>
                <w:rFonts w:hint="eastAsia" w:ascii="宋体" w:hAnsi="宋体" w:eastAsia="宋体" w:cs="宋体"/>
                <w:i w:val="0"/>
                <w:iCs w:val="0"/>
                <w:color w:val="000000"/>
                <w:kern w:val="0"/>
                <w:sz w:val="18"/>
                <w:szCs w:val="18"/>
                <w:u w:val="none"/>
                <w:lang w:val="en-US" w:eastAsia="zh-CN" w:bidi="ar"/>
              </w:rPr>
              <w:t>个月内落实，低风险问题纳入下一年度计划）？</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建议是否区分实施优先级。</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1、检查审计建议部分是否根据问题风险等级体现了不同的落实时限要求（对应TC260-PG-20254A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2、核对时限要求与问题分级结果的逻辑一致性。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查阅了审计报告第7章“审计建议”，确认其根据问题风险等级区分了优先级，例如高风险问题（FND-001, 003）建议“1个月内落实”，低风险问题（FND-008）建议“纳入下一年度改进计划”。</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90</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4</w:t>
            </w:r>
            <w:r>
              <w:rPr>
                <w:rFonts w:hint="eastAsia" w:ascii="宋体" w:hAnsi="宋体" w:eastAsia="宋体" w:cs="宋体"/>
                <w:i w:val="0"/>
                <w:iCs w:val="0"/>
                <w:color w:val="000000"/>
                <w:kern w:val="0"/>
                <w:sz w:val="18"/>
                <w:szCs w:val="18"/>
                <w:u w:val="none"/>
                <w:lang w:val="en-US" w:eastAsia="zh-CN" w:bidi="ar"/>
              </w:rPr>
              <w:t>、是否跟踪历史审计建议的落地情况（如</w:t>
            </w:r>
            <w:r>
              <w:rPr>
                <w:rStyle w:val="70"/>
                <w:rFonts w:hint="eastAsia" w:ascii="宋体" w:hAnsi="宋体" w:eastAsia="宋体" w:cs="宋体"/>
                <w:sz w:val="18"/>
                <w:szCs w:val="18"/>
                <w:lang w:val="en-US" w:eastAsia="zh-CN" w:bidi="ar"/>
              </w:rPr>
              <w:t xml:space="preserve"> 2024 </w:t>
            </w:r>
            <w:r>
              <w:rPr>
                <w:rFonts w:hint="eastAsia" w:ascii="宋体" w:hAnsi="宋体" w:eastAsia="宋体" w:cs="宋体"/>
                <w:i w:val="0"/>
                <w:iCs w:val="0"/>
                <w:color w:val="000000"/>
                <w:kern w:val="0"/>
                <w:sz w:val="18"/>
                <w:szCs w:val="18"/>
                <w:u w:val="none"/>
                <w:lang w:val="en-US" w:eastAsia="zh-CN" w:bidi="ar"/>
              </w:rPr>
              <w:t>年建议的</w:t>
            </w:r>
            <w:r>
              <w:rPr>
                <w:rStyle w:val="70"/>
                <w:rFonts w:hint="eastAsia" w:ascii="宋体" w:hAnsi="宋体" w:eastAsia="宋体" w:cs="宋体"/>
                <w:sz w:val="18"/>
                <w:szCs w:val="18"/>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数据分类分级</w:t>
            </w:r>
            <w:r>
              <w:rPr>
                <w:rStyle w:val="70"/>
                <w:rFonts w:hint="eastAsia" w:ascii="宋体" w:hAnsi="宋体" w:eastAsia="宋体" w:cs="宋体"/>
                <w:sz w:val="18"/>
                <w:szCs w:val="18"/>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是否已完成）？</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是否关注历史建议的闭环。</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1、查阅审计方案和底稿，确认本次审计是否包含对以往审计建议落实情况的跟踪检查程序（对应TC260-PG-20254A  4.2.1.e）；</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2、检查跟踪检查的记录和结论。</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查阅了本次审计的底稿DG-025-历史建议跟踪（编号DG-025），确认其对2024年审计建议的“数据分类分级”落地情况进行了跟踪检查，记录显示该建议已完成。</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91</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5</w:t>
            </w:r>
            <w:r>
              <w:rPr>
                <w:rFonts w:hint="eastAsia" w:ascii="宋体" w:hAnsi="宋体" w:eastAsia="宋体" w:cs="宋体"/>
                <w:i w:val="0"/>
                <w:iCs w:val="0"/>
                <w:color w:val="000000"/>
                <w:kern w:val="0"/>
                <w:sz w:val="18"/>
                <w:szCs w:val="18"/>
                <w:u w:val="none"/>
                <w:lang w:val="en-US" w:eastAsia="zh-CN" w:bidi="ar"/>
              </w:rPr>
              <w:t>、未落实的建议是否重新评估风险？</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是否重估遗留问题的风险。</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1、查阅审计底稿中关于历史未整改问题的重新风险评估记录（对应TC260-PG-20254A 4.2.1.i）；</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2、检查风险评估是否考虑了当前环境变化，并更新了风险等级。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查阅了底稿DG-025-历史建议跟踪，确认其对2024年未完全落实的建议“建立数据血缘图谱，完善第三方数据风险管理等”，评估结论为“因技术复杂度高，风险可接受，建议继续推进”。</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92</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h)</w:t>
            </w:r>
            <w:r>
              <w:rPr>
                <w:rFonts w:hint="eastAsia" w:ascii="宋体" w:hAnsi="宋体" w:eastAsia="宋体" w:cs="宋体"/>
                <w:i w:val="0"/>
                <w:iCs w:val="0"/>
                <w:color w:val="000000"/>
                <w:kern w:val="0"/>
                <w:sz w:val="18"/>
                <w:szCs w:val="18"/>
                <w:u w:val="none"/>
                <w:lang w:val="en-US" w:eastAsia="zh-CN" w:bidi="ar"/>
              </w:rPr>
              <w:t>其他解释说明材料。如有需对报告正文进行进一步补充、解释、说明的文字和数据等支撑性材料，可在该部分列出。一般包括：</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相关问题的计算及分析过程；</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审计发现问题的详细说明；</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记录审计人员修改意见、明确审计责任、体现审计报告版本的审计清单；</w:t>
            </w:r>
            <w:r>
              <w:rPr>
                <w:rFonts w:hint="default" w:ascii="宋体" w:hAnsi="Times New Roman" w:eastAsia="宋体" w:cs="Times New Roman"/>
                <w:i w:val="0"/>
                <w:iCs w:val="0"/>
                <w:color w:val="000000"/>
                <w:kern w:val="0"/>
                <w:sz w:val="18"/>
                <w:szCs w:val="18"/>
                <w:u w:val="none"/>
                <w:lang w:val="en-US" w:eastAsia="zh-CN" w:bidi="ar"/>
              </w:rPr>
              <w:br w:type="textWrapping"/>
            </w:r>
            <w:r>
              <w:rPr>
                <w:rFonts w:hint="default" w:ascii="宋体" w:hAnsi="Times New Roman" w:eastAsia="宋体" w:cs="Times New Roman"/>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需要提供解释和说明的其他内容。</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、是否在报告中完整列出支撑性材料（如计算分析过程、问题详细说明）以补充正文内容？</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报告附件是否充分支撑正文。</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1、核对审计报告附件清单与实际的附件内容，确认所有支撑性材料（如详细分析过程）均已列出（对应TC260-PG-20254A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2、检查附件内容是否确实对正文起到了补充解释作用。</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附件“支撑材料清单”，确认其完整列出了计算分析过程（如：用户同意率统计分析表、撤销同意处理操作日志、注销用户验证记录）、审计发现问题的详细说明（如FND-002问题详细说明）等，以补充报告正文内容。</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93</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、是否附有审计清单，明确记录修改意见、审计责任及报告版本信息？</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报告质量控制和版本管理是否规范。</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1、查阅报告审核清单、版本控制记录，确认记录了修改意见、审计责任及版本信息（对应TC260-PG-20254A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2、检查版本号管理是否规范。</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查阅了审计报告附件的“报告审核清单”（清单编号###），确认其明确记录了审核人张某、李某的修改意见，报告版本信息（V1.0草案 -&gt; V1.1审核稿 -&gt; V2.0终稿）。</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94</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、是否对需额外解释的内容（如特殊调整、争议点）提供补充说明？</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报告是否充分披露特殊情况。</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1、检查报告正文和附注，是否对审计中的特殊调整、技术局限、争议点等进行了补充说明（对应TC260-PG-20254A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2、确认说明充分，不会导致报告使用者误解。</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查阅了审计报告附注三，确认其对审计中的特殊调整（如“因系统迁移，抽样时间范围调整为2024年4-12月”）及争议点，并提供了补充说明。</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95</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5.4.3</w:t>
            </w:r>
            <w:r>
              <w:rPr>
                <w:rFonts w:hint="eastAsia" w:ascii="宋体" w:hAnsi="宋体" w:eastAsia="宋体" w:cs="宋体"/>
                <w:i w:val="0"/>
                <w:iCs w:val="0"/>
                <w:color w:val="000000"/>
                <w:kern w:val="0"/>
                <w:sz w:val="18"/>
                <w:szCs w:val="18"/>
                <w:u w:val="none"/>
                <w:lang w:val="en-US" w:eastAsia="zh-CN" w:bidi="ar"/>
              </w:rPr>
              <w:t>交付审计报告</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个人信息处理者内部机构出具的审计报告应由审计组长签字，处理100万人以上个人信息的个人信息处理者由个人信息保护负责人签字。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96</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专业机构出具的审计报告应由专业机构负责人/主要负责人、合规审计负责人签字并加盖公章，并在与审计对象商定的时间期限内提交。</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、审计报告是否由专业机构负责人与合规审计负责人签字并加盖公章？</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报告签章是否完备。</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1、检查最终版审计报告的签章页，确认同时具备专业机构负责人与合规审计负责人的签字及公章（对应TC260-PG-20254A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2、核对签字人员与审计方案、人员名单的一致性。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查阅了最终版个人信息保护合规审计报告（报告编号RPT-2025-01）签章页，确认报告已由专业机构负责人张某和合规审计负责人赵六双人签字，并加盖“某某检测中心”公章。</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97</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、强制合规审计的报告是否由专业机构负责人和合规审计负责人签字并加盖公章？</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报告签章是否完备。</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1、检查最终版审计报告的签章页，确认同时具备专业机构负责人和合规审计负责人的签字及公章（对应TC260-PG-20254A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2、核对签字人员与审计方案、人员名单的一致性。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查阅了最终版个人信息保护合规审计报告（报告编号RPT-2025-01）签章页，确认报告已由专业机构主要负责人林某和合规审计负责人李六双人签字，并加盖“某某检测中心”公章。</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98</w:t>
            </w: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3、报告提交时间是否与审计对象书面商定期限一致且无逾期？</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报告交付是否按时。</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1、核对报告交付凭证（如邮件发送记录、签收单）上的日期与合同或方案中约定的交付期限（对应TC260-PG-20254A 4.2.1.f）；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2、如有延期，检查是否有经审计对象同意的变更记录。</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查阅了“审计报告交付确认单”（日期2025年3月10日）及电子邮件发送记录（发送时间2025-3-10 10:10），确认报告提交时间与方案商定的期限“2025年3月10日前”一致，无逾期。</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99</w:t>
            </w:r>
          </w:p>
        </w:tc>
        <w:tc>
          <w:tcPr>
            <w:tcW w:w="13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5.5</w:t>
            </w:r>
            <w:r>
              <w:rPr>
                <w:rFonts w:hint="eastAsia" w:ascii="宋体" w:hAnsi="宋体" w:eastAsia="宋体" w:cs="宋体"/>
                <w:i w:val="0"/>
                <w:iCs w:val="0"/>
                <w:color w:val="000000"/>
                <w:kern w:val="0"/>
                <w:sz w:val="18"/>
                <w:szCs w:val="18"/>
                <w:u w:val="none"/>
                <w:lang w:val="en-US" w:eastAsia="zh-CN" w:bidi="ar"/>
              </w:rPr>
              <w:t>问题整改阶段</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审计人员应对审计中发现的不合规项进行跟踪，督促审计对象在规定期限内整改。必要时，审计人员可对整改措施的完成情况及有效性进行跟踪审计。</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、是否对审计发现的不合规项建立跟踪记录，并明确整改期限与责任人？</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整改跟踪机制是否建立。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1、查阅审计问题整改跟踪表，检查其是否包含问题描述、责任人、计划完成日期、当前状态等字段（对应TC260-PG-20254A 4.2.1.i）；</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2、检查跟踪表是否作为正式项目文件进行管理。</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发现问题整改跟踪表（编号TRK-2025-01，建立日期2025年3月11日），确认其对所有不合规项（FND-001至FND-010）建立了跟踪记录，并明确了各项的整改期限及验证方法（2025.6.10/远程ne）与责任人（如FND-001对应责任人为王某）。</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100</w:t>
            </w:r>
          </w:p>
        </w:tc>
        <w:tc>
          <w:tcPr>
            <w:tcW w:w="13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、必要时，审计人员是否对整改措施的完成情况及有效性进行跟踪审计，如强制审计情形？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是否对重点问题实施跟踪审计。</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1、查阅针对逾期或高风险问题实施的跟踪审计方案及相关底稿/报告（对应TC260-PG-20254A 4.2.1.c）；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2、检查跟踪审计是否评估了整改措施的实际有效性。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跟踪审计方案”（制定日期2025年7月1日）及相应的跟踪审计底稿（编号**-001至005），确认其对逾期未整改的FND-008和高风险问题FND-003实施了跟踪审计，并评估了整改措施的有效性（如FND-003已验证完成数据出境评估）。</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101</w:t>
            </w:r>
          </w:p>
        </w:tc>
        <w:tc>
          <w:tcPr>
            <w:tcW w:w="13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5.6</w:t>
            </w:r>
            <w:r>
              <w:rPr>
                <w:rFonts w:hint="eastAsia" w:ascii="宋体" w:hAnsi="宋体" w:eastAsia="宋体" w:cs="宋体"/>
                <w:i w:val="0"/>
                <w:iCs w:val="0"/>
                <w:color w:val="000000"/>
                <w:kern w:val="0"/>
                <w:sz w:val="18"/>
                <w:szCs w:val="18"/>
                <w:u w:val="none"/>
                <w:lang w:val="en-US" w:eastAsia="zh-CN" w:bidi="ar"/>
              </w:rPr>
              <w:t>归档管理阶段</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个人信息处理者和专业机构应妥善保管个人信息保护合规审计底稿、报告等档案资料。</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归档范围是否包含完整链条（如合同评审、合同、项目启动会、方案评审记录、报告评审记录、末次会议、现场审计授权书、审计方案、底稿、证据、报告、整改记录、项目交接单）？电子档案与纸质档案是否一致？</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归档材料是否完整、一致。</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1、查阅机构审计档案管理制度（对应TC260-PG-20254A 4.2.1.d，核对规定的归档范围是否完整；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2、抽样本次审计档案，检查电子与纸质档案内容的一致性。</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查阅了审计档案管理制度（文件编号###）第4条及本次审计的“归档清单”（编号###），确认归档范围包含完整链条（审计方案、底稿、证据、报告、整改记录等）。</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102</w:t>
            </w:r>
          </w:p>
        </w:tc>
        <w:tc>
          <w:tcPr>
            <w:tcW w:w="13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2</w:t>
            </w:r>
            <w:r>
              <w:rPr>
                <w:rFonts w:hint="eastAsia" w:ascii="宋体" w:hAnsi="宋体" w:eastAsia="宋体" w:cs="宋体"/>
                <w:i w:val="0"/>
                <w:iCs w:val="0"/>
                <w:color w:val="000000"/>
                <w:kern w:val="0"/>
                <w:sz w:val="18"/>
                <w:szCs w:val="18"/>
                <w:u w:val="none"/>
                <w:lang w:val="en-US" w:eastAsia="zh-CN" w:bidi="ar"/>
              </w:rPr>
              <w:t>、保管期限是否符合法律法规要求或者内部档案管理要求（如至少保存</w:t>
            </w:r>
            <w:r>
              <w:rPr>
                <w:rStyle w:val="70"/>
                <w:rFonts w:hint="eastAsia" w:ascii="宋体" w:hAnsi="宋体" w:eastAsia="宋体" w:cs="宋体"/>
                <w:sz w:val="18"/>
                <w:szCs w:val="18"/>
                <w:lang w:val="en-US" w:eastAsia="zh-CN" w:bidi="ar"/>
              </w:rPr>
              <w:t xml:space="preserve"> 3 </w:t>
            </w:r>
            <w:r>
              <w:rPr>
                <w:rFonts w:hint="eastAsia" w:ascii="宋体" w:hAnsi="宋体" w:eastAsia="宋体" w:cs="宋体"/>
                <w:i w:val="0"/>
                <w:iCs w:val="0"/>
                <w:color w:val="000000"/>
                <w:kern w:val="0"/>
                <w:sz w:val="18"/>
                <w:szCs w:val="18"/>
                <w:u w:val="none"/>
                <w:lang w:val="en-US" w:eastAsia="zh-CN" w:bidi="ar"/>
              </w:rPr>
              <w:t>年）？敏感档案是否单独存放并限制物理访问（如保险柜、加密服务器）？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保管期限与安全措施是否合规。</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1、查阅档案管理制度中的保管期限条款，确认符合《个人信息保护法》等法规要求（至少3年）（对应TC260-PG-20254A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2、现场检查敏感档案的存储环境（保险柜、加密服务器）及访问控制记录。</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审计档案管理制度第7条“保管期限”，确认其规定“审计档案至少保存3年”，符合《个人信息保护法》要求；检查了敏感档案（如含个人信息的底稿）的存储记录，确认其单独存放于加密服务器:/encrypted_storage/audit_archive;或：存放敏感审计底稿的文件夹（路径：\encrypted-svr\audit_secure\）已启用NTFS文件系统的加密文件系统（EFS）；限制物理访问（门禁记录显示仅张某、李某有权访问）。</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18"/>
                <w:szCs w:val="18"/>
                <w:u w:val="none"/>
              </w:rPr>
            </w:pPr>
            <w:r>
              <w:rPr>
                <w:rFonts w:hint="default" w:ascii="宋体" w:hAnsi="Times New Roman" w:eastAsia="宋体" w:cs="Times New Roman"/>
                <w:i w:val="0"/>
                <w:iCs w:val="0"/>
                <w:color w:val="000000"/>
                <w:kern w:val="0"/>
                <w:sz w:val="18"/>
                <w:szCs w:val="18"/>
                <w:u w:val="none"/>
                <w:lang w:val="en-US" w:eastAsia="zh-CN" w:bidi="ar"/>
              </w:rPr>
              <w:t>103</w:t>
            </w:r>
          </w:p>
        </w:tc>
        <w:tc>
          <w:tcPr>
            <w:tcW w:w="13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default" w:ascii="宋体" w:hAnsi="Times New Roman" w:eastAsia="宋体" w:cs="Times New Roman"/>
                <w:i w:val="0"/>
                <w:iCs w:val="0"/>
                <w:color w:val="000000"/>
                <w:sz w:val="18"/>
                <w:szCs w:val="18"/>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Style w:val="70"/>
                <w:rFonts w:hint="eastAsia" w:ascii="宋体" w:hAnsi="宋体" w:eastAsia="宋体" w:cs="宋体"/>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、档案调阅是否有审批流程（如填写调阅申请表并经负责人签字）？是否记录调阅人、时间、用途等信息？</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档案调阅是否受控且留痕。</w:t>
            </w:r>
          </w:p>
        </w:tc>
        <w:tc>
          <w:tcPr>
            <w:tcW w:w="2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验证方法：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1、查阅档案调阅审批记录单，检查其是否包含调阅人、时间、用途、审批人签字等要素（对应TC260-PG-20254A 4.2.1.d）；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2、检查调阅记录是否完整，无未审批的调阅情况。</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查阅了档案调阅审批表（编号ACC-2025-001，申请日期2025年9月1日），确认调阅人王某填写了申请表，经负责人张某审批签字，表中记录了调阅人、时间（2025.9.1 14:30）、用途（监管检查）等信息，流程完整。</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default" w:ascii="宋体" w:hAnsi="Times New Roman" w:eastAsia="宋体" w:cs="Times New Roman"/>
                <w:i w:val="0"/>
                <w:iCs w:val="0"/>
                <w:color w:val="000000"/>
                <w:sz w:val="18"/>
                <w:szCs w:val="18"/>
                <w:u w:val="none"/>
              </w:rPr>
            </w:pPr>
          </w:p>
        </w:tc>
      </w:tr>
    </w:tbl>
    <w:p>
      <w:pPr>
        <w:pStyle w:val="8"/>
        <w:rPr>
          <w:b/>
          <w:bCs/>
        </w:rPr>
      </w:pPr>
    </w:p>
    <w:sectPr>
      <w:headerReference r:id="rId3" w:type="default"/>
      <w:footerReference r:id="rId4" w:type="default"/>
      <w:pgSz w:w="16838" w:h="11906" w:orient="landscape"/>
      <w:pgMar w:top="1418" w:right="1270" w:bottom="1361" w:left="1440" w:header="964"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lear" w:pos="8306"/>
      </w:tabs>
      <w:ind w:right="-154"/>
      <w:jc w:val="both"/>
    </w:pPr>
    <w:r>
      <w:rPr>
        <w:rFonts w:hint="eastAsia" w:ascii="仿宋_GB2312" w:eastAsia="仿宋_GB2312"/>
      </w:rPr>
      <w:t>中国网络安全审查认证和市场监管大数据中心</w:t>
    </w:r>
    <w:r>
      <w:rPr>
        <w:rFonts w:hint="eastAsia" w:ascii="宋体" w:hAnsi="宋体"/>
      </w:rPr>
      <w:t xml:space="preserve">                                                    </w:t>
    </w:r>
    <w:r>
      <w:rPr>
        <w:rFonts w:ascii="宋体" w:hAnsi="宋体"/>
      </w:rPr>
      <w:t xml:space="preserve">  </w:t>
    </w:r>
    <w:r>
      <w:rPr>
        <w:rFonts w:hint="eastAsia" w:ascii="宋体" w:hAnsi="宋体"/>
      </w:rPr>
      <w:t xml:space="preserve">                                            </w:t>
    </w:r>
    <w:r>
      <w:rPr>
        <w:rFonts w:hint="eastAsia" w:ascii="宋体" w:hAnsi="宋体"/>
        <w:kern w:val="0"/>
        <w:szCs w:val="21"/>
      </w:rPr>
      <w:t xml:space="preserve">第 </w:t>
    </w:r>
    <w:r>
      <w:rPr>
        <w:rFonts w:hint="eastAsia" w:ascii="宋体" w:hAnsi="宋体"/>
        <w:kern w:val="0"/>
        <w:szCs w:val="21"/>
      </w:rPr>
      <w:fldChar w:fldCharType="begin"/>
    </w:r>
    <w:r>
      <w:rPr>
        <w:rFonts w:hint="eastAsia" w:ascii="宋体" w:hAnsi="宋体"/>
        <w:kern w:val="0"/>
        <w:szCs w:val="21"/>
      </w:rPr>
      <w:instrText xml:space="preserve"> PAGE  \* Arabic </w:instrText>
    </w:r>
    <w:r>
      <w:rPr>
        <w:rFonts w:hint="eastAsia" w:ascii="宋体" w:hAnsi="宋体"/>
        <w:kern w:val="0"/>
        <w:szCs w:val="21"/>
      </w:rPr>
      <w:fldChar w:fldCharType="separate"/>
    </w:r>
    <w:r>
      <w:rPr>
        <w:rFonts w:ascii="宋体" w:hAnsi="宋体"/>
        <w:kern w:val="0"/>
        <w:szCs w:val="21"/>
      </w:rPr>
      <w:t>21</w:t>
    </w:r>
    <w:r>
      <w:rPr>
        <w:rFonts w:hint="eastAsia" w:ascii="宋体" w:hAnsi="宋体"/>
        <w:kern w:val="0"/>
        <w:szCs w:val="21"/>
      </w:rPr>
      <w:fldChar w:fldCharType="end"/>
    </w:r>
    <w:r>
      <w:rPr>
        <w:rFonts w:hint="eastAsia" w:ascii="宋体" w:hAnsi="宋体"/>
        <w:kern w:val="0"/>
        <w:szCs w:val="21"/>
      </w:rPr>
      <w:t xml:space="preserve"> 页 共 </w:t>
    </w:r>
    <w:r>
      <w:rPr>
        <w:rFonts w:hint="eastAsia" w:ascii="宋体" w:hAnsi="宋体"/>
        <w:kern w:val="0"/>
        <w:szCs w:val="21"/>
      </w:rPr>
      <w:fldChar w:fldCharType="begin"/>
    </w:r>
    <w:r>
      <w:rPr>
        <w:rFonts w:hint="eastAsia" w:ascii="宋体" w:hAnsi="宋体"/>
        <w:kern w:val="0"/>
        <w:szCs w:val="21"/>
      </w:rPr>
      <w:instrText xml:space="preserve"> NUMPAGES </w:instrText>
    </w:r>
    <w:r>
      <w:rPr>
        <w:rFonts w:hint="eastAsia" w:ascii="宋体" w:hAnsi="宋体"/>
        <w:kern w:val="0"/>
        <w:szCs w:val="21"/>
      </w:rPr>
      <w:fldChar w:fldCharType="separate"/>
    </w:r>
    <w:r>
      <w:rPr>
        <w:rFonts w:ascii="宋体" w:hAnsi="宋体"/>
        <w:kern w:val="0"/>
        <w:szCs w:val="21"/>
      </w:rPr>
      <w:t>22</w:t>
    </w:r>
    <w:r>
      <w:rPr>
        <w:rFonts w:hint="eastAsia" w:ascii="宋体" w:hAnsi="宋体"/>
        <w:kern w:val="0"/>
        <w:szCs w:val="21"/>
      </w:rPr>
      <w:fldChar w:fldCharType="end"/>
    </w:r>
    <w:r>
      <w:rPr>
        <w:rFonts w:hint="eastAsia" w:ascii="宋体" w:hAnsi="宋体"/>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rPr>
        <w:rFonts w:ascii="仿宋_GB2312" w:eastAsia="仿宋_GB2312"/>
      </w:rPr>
    </w:pPr>
    <w:r>
      <w:rPr>
        <w:rFonts w:hint="eastAsia"/>
      </w:rPr>
      <w:t>CCRC-QOT-2902（PIPCA）-B/</w:t>
    </w:r>
    <w:r>
      <w:rPr>
        <w:rFonts w:hint="eastAsia"/>
        <w:lang w:val="en-US" w:eastAsia="zh-CN"/>
      </w:rPr>
      <w:t>3</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ascii="仿宋_GB2312" w:eastAsia="仿宋_GB2312"/>
      </w:rPr>
      <w:t xml:space="preserve">  </w:t>
    </w:r>
    <w:r>
      <w:rPr>
        <w:rFonts w:ascii="仿宋_GB2312" w:eastAsia="仿宋_GB2312"/>
      </w:rPr>
      <w:t xml:space="preserve">        </w:t>
    </w:r>
    <w:r>
      <w:rPr>
        <w:rFonts w:hint="eastAsia" w:ascii="仿宋_GB2312" w:eastAsia="仿宋_GB2312"/>
      </w:rPr>
      <w:t>数据服务认证自评价表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2B557C"/>
    <w:multiLevelType w:val="multilevel"/>
    <w:tmpl w:val="D72B557C"/>
    <w:lvl w:ilvl="0" w:tentative="0">
      <w:start w:val="1"/>
      <w:numFmt w:val="decimal"/>
      <w:lvlText w:val="%1."/>
      <w:lvlJc w:val="left"/>
      <w:pPr>
        <w:tabs>
          <w:tab w:val="left" w:pos="425"/>
        </w:tabs>
        <w:ind w:left="425" w:hanging="425"/>
      </w:pPr>
      <w:rPr>
        <w:rFonts w:hint="eastAsia" w:ascii="宋体" w:hAnsi="宋体" w:eastAsia="宋体"/>
        <w:b/>
        <w:i w:val="0"/>
        <w:sz w:val="30"/>
        <w:szCs w:val="30"/>
      </w:rPr>
    </w:lvl>
    <w:lvl w:ilvl="1" w:tentative="0">
      <w:start w:val="1"/>
      <w:numFmt w:val="decimal"/>
      <w:pStyle w:val="3"/>
      <w:lvlText w:val="%1.%2."/>
      <w:lvlJc w:val="left"/>
      <w:pPr>
        <w:tabs>
          <w:tab w:val="left" w:pos="851"/>
        </w:tabs>
        <w:ind w:left="851" w:hanging="567"/>
      </w:pPr>
      <w:rPr>
        <w:rFonts w:hint="default" w:ascii="宋体" w:hAnsi="宋体" w:eastAsia="宋体"/>
        <w:b/>
        <w:i w:val="0"/>
        <w:sz w:val="28"/>
        <w:szCs w:val="28"/>
      </w:rPr>
    </w:lvl>
    <w:lvl w:ilvl="2" w:tentative="0">
      <w:start w:val="1"/>
      <w:numFmt w:val="decimal"/>
      <w:lvlText w:val="%1.%2.%3."/>
      <w:lvlJc w:val="left"/>
      <w:pPr>
        <w:tabs>
          <w:tab w:val="left" w:pos="1080"/>
        </w:tabs>
        <w:ind w:left="709" w:hanging="709"/>
      </w:pPr>
      <w:rPr>
        <w:rFonts w:hint="eastAsia" w:ascii="宋体" w:hAnsi="宋体" w:eastAsia="宋体"/>
        <w:b/>
        <w:i w:val="0"/>
        <w:sz w:val="24"/>
      </w:rPr>
    </w:lvl>
    <w:lvl w:ilvl="3" w:tentative="0">
      <w:start w:val="1"/>
      <w:numFmt w:val="decimal"/>
      <w:lvlText w:val="%1.%2.%3.%4."/>
      <w:lvlJc w:val="left"/>
      <w:pPr>
        <w:tabs>
          <w:tab w:val="left" w:pos="1080"/>
        </w:tabs>
        <w:ind w:left="851" w:hanging="851"/>
      </w:pPr>
      <w:rPr>
        <w:rFonts w:hint="eastAsia" w:ascii="宋体" w:hAnsi="宋体" w:eastAsia="宋体"/>
        <w:b/>
        <w:i w:val="0"/>
        <w:sz w:val="24"/>
      </w:rPr>
    </w:lvl>
    <w:lvl w:ilvl="4" w:tentative="0">
      <w:start w:val="1"/>
      <w:numFmt w:val="decimal"/>
      <w:lvlText w:val="%1.%2.%3.%4.%5."/>
      <w:lvlJc w:val="left"/>
      <w:pPr>
        <w:tabs>
          <w:tab w:val="left" w:pos="1440"/>
        </w:tabs>
        <w:ind w:left="992" w:hanging="992"/>
      </w:pPr>
      <w:rPr>
        <w:rFonts w:hint="eastAsia" w:ascii="宋体" w:hAnsi="宋体" w:eastAsia="宋体"/>
        <w:b/>
        <w:i w:val="0"/>
        <w:sz w:val="24"/>
      </w:rPr>
    </w:lvl>
    <w:lvl w:ilvl="5" w:tentative="0">
      <w:start w:val="1"/>
      <w:numFmt w:val="decimal"/>
      <w:lvlText w:val="%1.%2.%3.%4.%5.%6."/>
      <w:lvlJc w:val="left"/>
      <w:pPr>
        <w:tabs>
          <w:tab w:val="left" w:pos="1800"/>
        </w:tabs>
        <w:ind w:left="1134" w:hanging="1134"/>
      </w:pPr>
      <w:rPr>
        <w:rFonts w:hint="eastAsia" w:ascii="宋体" w:hAnsi="宋体" w:eastAsia="宋体"/>
        <w:b/>
        <w:i w:val="0"/>
        <w:sz w:val="24"/>
      </w:rPr>
    </w:lvl>
    <w:lvl w:ilvl="6" w:tentative="0">
      <w:start w:val="1"/>
      <w:numFmt w:val="decimal"/>
      <w:lvlText w:val="%1.%2.%3.%4.%5.%6.%7."/>
      <w:lvlJc w:val="left"/>
      <w:pPr>
        <w:tabs>
          <w:tab w:val="left" w:pos="2160"/>
        </w:tabs>
        <w:ind w:left="1276" w:hanging="1276"/>
      </w:pPr>
      <w:rPr>
        <w:rFonts w:hint="eastAsia" w:ascii="宋体" w:hAnsi="宋体" w:eastAsia="宋体"/>
      </w:rPr>
    </w:lvl>
    <w:lvl w:ilvl="7" w:tentative="0">
      <w:start w:val="1"/>
      <w:numFmt w:val="decimal"/>
      <w:lvlText w:val="%1.%2.%3.%4.%5.%6.%7.%8."/>
      <w:lvlJc w:val="left"/>
      <w:pPr>
        <w:tabs>
          <w:tab w:val="left" w:pos="2520"/>
        </w:tabs>
        <w:ind w:left="1418" w:hanging="1418"/>
      </w:pPr>
      <w:rPr>
        <w:rFonts w:hint="eastAsia" w:ascii="宋体" w:hAnsi="宋体" w:eastAsia="宋体"/>
      </w:rPr>
    </w:lvl>
    <w:lvl w:ilvl="8" w:tentative="0">
      <w:start w:val="1"/>
      <w:numFmt w:val="decimal"/>
      <w:lvlText w:val="%1.%2.%3.%4.%5.%6.%7.%8.%9."/>
      <w:lvlJc w:val="left"/>
      <w:pPr>
        <w:tabs>
          <w:tab w:val="left" w:pos="2880"/>
        </w:tabs>
        <w:ind w:left="1559" w:hanging="1559"/>
      </w:pPr>
      <w:rPr>
        <w:rFonts w:hint="eastAsia" w:ascii="宋体" w:hAnsi="宋体" w:eastAsia="宋体"/>
      </w:rPr>
    </w:lvl>
  </w:abstractNum>
  <w:abstractNum w:abstractNumId="1">
    <w:nsid w:val="44C50F90"/>
    <w:multiLevelType w:val="multilevel"/>
    <w:tmpl w:val="44C50F90"/>
    <w:lvl w:ilvl="0" w:tentative="0">
      <w:start w:val="1"/>
      <w:numFmt w:val="lowerLetter"/>
      <w:lvlText w:val="%1)"/>
      <w:lvlJc w:val="left"/>
      <w:pPr>
        <w:tabs>
          <w:tab w:val="left" w:pos="840"/>
        </w:tabs>
        <w:ind w:left="839" w:hanging="419"/>
      </w:pPr>
      <w:rPr>
        <w:rFonts w:hint="eastAsia" w:ascii="宋体" w:eastAsia="宋体"/>
        <w:b w:val="0"/>
        <w:i w:val="0"/>
        <w:color w:val="auto"/>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pStyle w:val="61"/>
      <w:suff w:val="nothing"/>
      <w:lvlText w:val="%1"/>
      <w:lvlJc w:val="left"/>
      <w:pPr>
        <w:ind w:left="0" w:firstLine="0"/>
      </w:pPr>
      <w:rPr>
        <w:rFonts w:hint="eastAsia"/>
      </w:rPr>
    </w:lvl>
    <w:lvl w:ilvl="1" w:tentative="0">
      <w:start w:val="1"/>
      <w:numFmt w:val="decimal"/>
      <w:pStyle w:val="59"/>
      <w:suff w:val="nothing"/>
      <w:lvlText w:val="%1%2　"/>
      <w:lvlJc w:val="left"/>
      <w:pPr>
        <w:ind w:left="0" w:firstLine="0"/>
      </w:pPr>
      <w:rPr>
        <w:rFonts w:hint="eastAsia" w:ascii="黑体" w:eastAsia="黑体"/>
        <w:b w:val="0"/>
        <w:i w:val="0"/>
        <w:sz w:val="21"/>
      </w:rPr>
    </w:lvl>
    <w:lvl w:ilvl="2" w:tentative="0">
      <w:start w:val="1"/>
      <w:numFmt w:val="decimal"/>
      <w:pStyle w:val="6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lang w:val="en-US"/>
      </w:rPr>
    </w:lvl>
    <w:lvl w:ilvl="3" w:tentative="0">
      <w:start w:val="1"/>
      <w:numFmt w:val="decimal"/>
      <w:pStyle w:val="55"/>
      <w:suff w:val="nothing"/>
      <w:lvlText w:val="%1%2.%3.%4　"/>
      <w:lvlJc w:val="left"/>
      <w:pPr>
        <w:ind w:left="0" w:firstLine="0"/>
      </w:pPr>
      <w:rPr>
        <w:rFonts w:hint="eastAsia" w:ascii="黑体" w:eastAsia="黑体"/>
        <w:b w:val="0"/>
        <w:i w:val="0"/>
        <w:sz w:val="21"/>
      </w:rPr>
    </w:lvl>
    <w:lvl w:ilvl="4" w:tentative="0">
      <w:start w:val="1"/>
      <w:numFmt w:val="decimal"/>
      <w:pStyle w:val="56"/>
      <w:suff w:val="nothing"/>
      <w:lvlText w:val="%1%2.%3.%4.%5　"/>
      <w:lvlJc w:val="left"/>
      <w:pPr>
        <w:ind w:left="0" w:firstLine="0"/>
      </w:pPr>
      <w:rPr>
        <w:rFonts w:hint="eastAsia" w:ascii="黑体" w:eastAsia="黑体"/>
        <w:b w:val="0"/>
        <w:i w:val="0"/>
        <w:sz w:val="21"/>
      </w:rPr>
    </w:lvl>
    <w:lvl w:ilvl="5" w:tentative="0">
      <w:start w:val="1"/>
      <w:numFmt w:val="decimal"/>
      <w:pStyle w:val="57"/>
      <w:suff w:val="nothing"/>
      <w:lvlText w:val="%1%2.%3.%4.%5.%6　"/>
      <w:lvlJc w:val="left"/>
      <w:pPr>
        <w:ind w:left="0" w:firstLine="0"/>
      </w:pPr>
      <w:rPr>
        <w:rFonts w:hint="eastAsia" w:ascii="黑体" w:eastAsia="黑体"/>
        <w:b w:val="0"/>
        <w:i w:val="0"/>
        <w:sz w:val="21"/>
      </w:rPr>
    </w:lvl>
    <w:lvl w:ilvl="6" w:tentative="0">
      <w:start w:val="1"/>
      <w:numFmt w:val="decimal"/>
      <w:pStyle w:val="5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lvlOverride w:ilvl="0">
      <w:lvl w:ilvl="0" w:tentative="1">
        <w:start w:val="1"/>
        <w:numFmt w:val="lowerLetter"/>
        <w:pStyle w:val="49"/>
        <w:lvlText w:val="%1)"/>
        <w:lvlJc w:val="left"/>
        <w:pPr>
          <w:tabs>
            <w:tab w:val="left" w:pos="840"/>
          </w:tabs>
          <w:ind w:left="839" w:hanging="419"/>
        </w:pPr>
        <w:rPr>
          <w:rFonts w:hint="eastAsia" w:ascii="宋体" w:eastAsia="宋体"/>
          <w:b w:val="0"/>
          <w:i w:val="0"/>
          <w:color w:val="auto"/>
          <w:sz w:val="21"/>
          <w:szCs w:val="21"/>
        </w:rPr>
      </w:lvl>
    </w:lvlOverride>
    <w:lvlOverride w:ilvl="1">
      <w:lvl w:ilvl="1" w:tentative="1">
        <w:start w:val="1"/>
        <w:numFmt w:val="decimal"/>
        <w:pStyle w:val="48"/>
        <w:lvlText w:val="%2)"/>
        <w:lvlJc w:val="left"/>
        <w:pPr>
          <w:tabs>
            <w:tab w:val="left" w:pos="1260"/>
          </w:tabs>
          <w:ind w:left="1259" w:hanging="419"/>
        </w:pPr>
        <w:rPr>
          <w:rFonts w:hint="eastAsia"/>
        </w:rPr>
      </w:lvl>
    </w:lvlOverride>
    <w:lvlOverride w:ilvl="2">
      <w:lvl w:ilvl="2" w:tentative="1">
        <w:start w:val="1"/>
        <w:numFmt w:val="decimal"/>
        <w:pStyle w:val="50"/>
        <w:lvlText w:val="(%3)"/>
        <w:lvlJc w:val="left"/>
        <w:pPr>
          <w:tabs>
            <w:tab w:val="left" w:pos="0"/>
          </w:tabs>
          <w:ind w:left="1679" w:hanging="420"/>
        </w:pPr>
        <w:rPr>
          <w:rFonts w:hint="eastAsia" w:ascii="宋体" w:eastAsia="宋体"/>
          <w:b w:val="0"/>
          <w:i w:val="0"/>
          <w:sz w:val="21"/>
          <w:szCs w:val="21"/>
        </w:rPr>
      </w:lvl>
    </w:lvlOverride>
    <w:lvlOverride w:ilvl="3">
      <w:lvl w:ilvl="3" w:tentative="1">
        <w:start w:val="1"/>
        <w:numFmt w:val="decimal"/>
        <w:lvlText w:val="%4."/>
        <w:lvlJc w:val="left"/>
        <w:pPr>
          <w:tabs>
            <w:tab w:val="left" w:pos="2100"/>
          </w:tabs>
          <w:ind w:left="2099" w:hanging="419"/>
        </w:pPr>
        <w:rPr>
          <w:rFonts w:hint="eastAsia"/>
        </w:rPr>
      </w:lvl>
    </w:lvlOverride>
    <w:lvlOverride w:ilvl="4">
      <w:lvl w:ilvl="4" w:tentative="1">
        <w:start w:val="1"/>
        <w:numFmt w:val="lowerLetter"/>
        <w:lvlText w:val="%5)"/>
        <w:lvlJc w:val="left"/>
        <w:pPr>
          <w:tabs>
            <w:tab w:val="left" w:pos="2520"/>
          </w:tabs>
          <w:ind w:left="2519" w:hanging="419"/>
        </w:pPr>
        <w:rPr>
          <w:rFonts w:hint="eastAsia"/>
        </w:rPr>
      </w:lvl>
    </w:lvlOverride>
    <w:lvlOverride w:ilvl="5">
      <w:lvl w:ilvl="5" w:tentative="1">
        <w:start w:val="1"/>
        <w:numFmt w:val="lowerRoman"/>
        <w:lvlText w:val="%6."/>
        <w:lvlJc w:val="right"/>
        <w:pPr>
          <w:tabs>
            <w:tab w:val="left" w:pos="2940"/>
          </w:tabs>
          <w:ind w:left="2939" w:hanging="419"/>
        </w:pPr>
        <w:rPr>
          <w:rFonts w:hint="eastAsia"/>
        </w:rPr>
      </w:lvl>
    </w:lvlOverride>
    <w:lvlOverride w:ilvl="6">
      <w:lvl w:ilvl="6" w:tentative="1">
        <w:start w:val="1"/>
        <w:numFmt w:val="decimal"/>
        <w:lvlText w:val="%7."/>
        <w:lvlJc w:val="left"/>
        <w:pPr>
          <w:tabs>
            <w:tab w:val="left" w:pos="3360"/>
          </w:tabs>
          <w:ind w:left="3359" w:hanging="419"/>
        </w:pPr>
        <w:rPr>
          <w:rFonts w:hint="eastAsia"/>
        </w:rPr>
      </w:lvl>
    </w:lvlOverride>
    <w:lvlOverride w:ilvl="7">
      <w:lvl w:ilvl="7" w:tentative="1">
        <w:start w:val="1"/>
        <w:numFmt w:val="lowerLetter"/>
        <w:lvlText w:val="%8)"/>
        <w:lvlJc w:val="left"/>
        <w:pPr>
          <w:tabs>
            <w:tab w:val="left" w:pos="3780"/>
          </w:tabs>
          <w:ind w:left="3779" w:hanging="419"/>
        </w:pPr>
        <w:rPr>
          <w:rFonts w:hint="eastAsia"/>
        </w:rPr>
      </w:lvl>
    </w:lvlOverride>
    <w:lvlOverride w:ilvl="8">
      <w:lvl w:ilvl="8" w:tentative="1">
        <w:start w:val="1"/>
        <w:numFmt w:val="lowerRoman"/>
        <w:lvlText w:val="%9."/>
        <w:lvlJc w:val="right"/>
        <w:pPr>
          <w:tabs>
            <w:tab w:val="left" w:pos="4200"/>
          </w:tabs>
          <w:ind w:left="4199" w:hanging="419"/>
        </w:pPr>
        <w:rPr>
          <w:rFonts w:hint="eastAsia"/>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zNjJlMDQyNGViNmY1NTlkNDUyMDY5MWQyODYxMzYifQ=="/>
    <w:docVar w:name="KSO_WPS_MARK_KEY" w:val="222fef97-38d0-42bc-a27c-39ed655e76ea"/>
  </w:docVars>
  <w:rsids>
    <w:rsidRoot w:val="00F33522"/>
    <w:rsid w:val="0000082B"/>
    <w:rsid w:val="00001ECA"/>
    <w:rsid w:val="0000305E"/>
    <w:rsid w:val="00005D65"/>
    <w:rsid w:val="00006BFB"/>
    <w:rsid w:val="00007474"/>
    <w:rsid w:val="00010A9E"/>
    <w:rsid w:val="00012AED"/>
    <w:rsid w:val="00012DF8"/>
    <w:rsid w:val="00012F2F"/>
    <w:rsid w:val="0001506A"/>
    <w:rsid w:val="0001618E"/>
    <w:rsid w:val="00016E8E"/>
    <w:rsid w:val="00024220"/>
    <w:rsid w:val="000243D5"/>
    <w:rsid w:val="000255B3"/>
    <w:rsid w:val="00025885"/>
    <w:rsid w:val="00025C45"/>
    <w:rsid w:val="00031328"/>
    <w:rsid w:val="00032313"/>
    <w:rsid w:val="00033EEB"/>
    <w:rsid w:val="000363E7"/>
    <w:rsid w:val="0003695E"/>
    <w:rsid w:val="00036F97"/>
    <w:rsid w:val="0004049D"/>
    <w:rsid w:val="00040891"/>
    <w:rsid w:val="00041D80"/>
    <w:rsid w:val="000422AC"/>
    <w:rsid w:val="00042450"/>
    <w:rsid w:val="000453BD"/>
    <w:rsid w:val="00050BD5"/>
    <w:rsid w:val="00051E41"/>
    <w:rsid w:val="00051F6C"/>
    <w:rsid w:val="00052026"/>
    <w:rsid w:val="000520EF"/>
    <w:rsid w:val="00054073"/>
    <w:rsid w:val="000554C5"/>
    <w:rsid w:val="00055B20"/>
    <w:rsid w:val="000601BE"/>
    <w:rsid w:val="00062516"/>
    <w:rsid w:val="00063583"/>
    <w:rsid w:val="00063F2C"/>
    <w:rsid w:val="0006773B"/>
    <w:rsid w:val="00067FEE"/>
    <w:rsid w:val="00073D0E"/>
    <w:rsid w:val="000747C2"/>
    <w:rsid w:val="00080213"/>
    <w:rsid w:val="000806BA"/>
    <w:rsid w:val="0008116C"/>
    <w:rsid w:val="00081405"/>
    <w:rsid w:val="00083697"/>
    <w:rsid w:val="00085744"/>
    <w:rsid w:val="000872CA"/>
    <w:rsid w:val="00090205"/>
    <w:rsid w:val="00091A08"/>
    <w:rsid w:val="00094BC1"/>
    <w:rsid w:val="00095037"/>
    <w:rsid w:val="0009504C"/>
    <w:rsid w:val="00095423"/>
    <w:rsid w:val="0009706C"/>
    <w:rsid w:val="000A42CB"/>
    <w:rsid w:val="000A5FAE"/>
    <w:rsid w:val="000A648E"/>
    <w:rsid w:val="000A64C4"/>
    <w:rsid w:val="000B0FD3"/>
    <w:rsid w:val="000B24FD"/>
    <w:rsid w:val="000B45CE"/>
    <w:rsid w:val="000B4873"/>
    <w:rsid w:val="000C08DE"/>
    <w:rsid w:val="000C0E15"/>
    <w:rsid w:val="000C1770"/>
    <w:rsid w:val="000C2C4C"/>
    <w:rsid w:val="000C5FD0"/>
    <w:rsid w:val="000C6584"/>
    <w:rsid w:val="000C7BF7"/>
    <w:rsid w:val="000D3A33"/>
    <w:rsid w:val="000D415F"/>
    <w:rsid w:val="000D5ECB"/>
    <w:rsid w:val="000D68E9"/>
    <w:rsid w:val="000D7EF5"/>
    <w:rsid w:val="000E093B"/>
    <w:rsid w:val="000E09E5"/>
    <w:rsid w:val="000E0BDC"/>
    <w:rsid w:val="000E4C2C"/>
    <w:rsid w:val="000E78BF"/>
    <w:rsid w:val="000F016C"/>
    <w:rsid w:val="000F08FF"/>
    <w:rsid w:val="000F47CE"/>
    <w:rsid w:val="000F5BE5"/>
    <w:rsid w:val="001019FA"/>
    <w:rsid w:val="00104938"/>
    <w:rsid w:val="001059C4"/>
    <w:rsid w:val="001069EA"/>
    <w:rsid w:val="001078C4"/>
    <w:rsid w:val="00110AFA"/>
    <w:rsid w:val="001143C7"/>
    <w:rsid w:val="00115D83"/>
    <w:rsid w:val="001169D2"/>
    <w:rsid w:val="0012120B"/>
    <w:rsid w:val="00123525"/>
    <w:rsid w:val="00126492"/>
    <w:rsid w:val="00126EC8"/>
    <w:rsid w:val="0012745A"/>
    <w:rsid w:val="00127CFC"/>
    <w:rsid w:val="00130396"/>
    <w:rsid w:val="00131C9D"/>
    <w:rsid w:val="0013398E"/>
    <w:rsid w:val="001346DB"/>
    <w:rsid w:val="00141519"/>
    <w:rsid w:val="001417A6"/>
    <w:rsid w:val="001434DF"/>
    <w:rsid w:val="00144775"/>
    <w:rsid w:val="00146A49"/>
    <w:rsid w:val="0014729E"/>
    <w:rsid w:val="00151074"/>
    <w:rsid w:val="00151D3A"/>
    <w:rsid w:val="00152A71"/>
    <w:rsid w:val="00152C3B"/>
    <w:rsid w:val="00153745"/>
    <w:rsid w:val="00153F99"/>
    <w:rsid w:val="0015506E"/>
    <w:rsid w:val="0015545F"/>
    <w:rsid w:val="001605D0"/>
    <w:rsid w:val="001625DC"/>
    <w:rsid w:val="00162CC5"/>
    <w:rsid w:val="001659CD"/>
    <w:rsid w:val="00165B1D"/>
    <w:rsid w:val="0016714C"/>
    <w:rsid w:val="0017201B"/>
    <w:rsid w:val="0017223C"/>
    <w:rsid w:val="00173769"/>
    <w:rsid w:val="0017539B"/>
    <w:rsid w:val="00175F0D"/>
    <w:rsid w:val="0017706F"/>
    <w:rsid w:val="00181C86"/>
    <w:rsid w:val="00182670"/>
    <w:rsid w:val="00183BF9"/>
    <w:rsid w:val="00183E29"/>
    <w:rsid w:val="00184491"/>
    <w:rsid w:val="00190E93"/>
    <w:rsid w:val="001912F0"/>
    <w:rsid w:val="00191C1F"/>
    <w:rsid w:val="00191FD1"/>
    <w:rsid w:val="00192393"/>
    <w:rsid w:val="00192BBD"/>
    <w:rsid w:val="00193E5A"/>
    <w:rsid w:val="0019478C"/>
    <w:rsid w:val="00194C5D"/>
    <w:rsid w:val="001966DE"/>
    <w:rsid w:val="001A0858"/>
    <w:rsid w:val="001A1DC6"/>
    <w:rsid w:val="001A23B4"/>
    <w:rsid w:val="001A607B"/>
    <w:rsid w:val="001A741D"/>
    <w:rsid w:val="001A7FDA"/>
    <w:rsid w:val="001B07D9"/>
    <w:rsid w:val="001B1301"/>
    <w:rsid w:val="001B5580"/>
    <w:rsid w:val="001B6849"/>
    <w:rsid w:val="001B757A"/>
    <w:rsid w:val="001D0E07"/>
    <w:rsid w:val="001D10CC"/>
    <w:rsid w:val="001D17B4"/>
    <w:rsid w:val="001D3CA2"/>
    <w:rsid w:val="001D447F"/>
    <w:rsid w:val="001D548F"/>
    <w:rsid w:val="001D5721"/>
    <w:rsid w:val="001E0650"/>
    <w:rsid w:val="001E2905"/>
    <w:rsid w:val="001E39EF"/>
    <w:rsid w:val="001E5498"/>
    <w:rsid w:val="001E6FF2"/>
    <w:rsid w:val="001F088C"/>
    <w:rsid w:val="001F0A6D"/>
    <w:rsid w:val="001F3BD0"/>
    <w:rsid w:val="001F3BEC"/>
    <w:rsid w:val="001F3D46"/>
    <w:rsid w:val="001F4A73"/>
    <w:rsid w:val="001F53E2"/>
    <w:rsid w:val="00200D03"/>
    <w:rsid w:val="0020198F"/>
    <w:rsid w:val="00203661"/>
    <w:rsid w:val="002038AC"/>
    <w:rsid w:val="002046B8"/>
    <w:rsid w:val="00205224"/>
    <w:rsid w:val="00211410"/>
    <w:rsid w:val="00211952"/>
    <w:rsid w:val="00213067"/>
    <w:rsid w:val="0022283F"/>
    <w:rsid w:val="002238BA"/>
    <w:rsid w:val="00224E6D"/>
    <w:rsid w:val="002250D4"/>
    <w:rsid w:val="0023068A"/>
    <w:rsid w:val="0023154F"/>
    <w:rsid w:val="00232E71"/>
    <w:rsid w:val="0023489D"/>
    <w:rsid w:val="002354A6"/>
    <w:rsid w:val="00241FF2"/>
    <w:rsid w:val="0024378B"/>
    <w:rsid w:val="002448A4"/>
    <w:rsid w:val="002451F2"/>
    <w:rsid w:val="0025076B"/>
    <w:rsid w:val="00251D38"/>
    <w:rsid w:val="00254C41"/>
    <w:rsid w:val="00254DDF"/>
    <w:rsid w:val="0025556E"/>
    <w:rsid w:val="00257E0A"/>
    <w:rsid w:val="00262668"/>
    <w:rsid w:val="00264CD8"/>
    <w:rsid w:val="00265100"/>
    <w:rsid w:val="00265915"/>
    <w:rsid w:val="00265E12"/>
    <w:rsid w:val="00267FF2"/>
    <w:rsid w:val="00270F7A"/>
    <w:rsid w:val="00271911"/>
    <w:rsid w:val="00271F05"/>
    <w:rsid w:val="00272EC7"/>
    <w:rsid w:val="00273EB7"/>
    <w:rsid w:val="00276A67"/>
    <w:rsid w:val="00276AD5"/>
    <w:rsid w:val="00276B15"/>
    <w:rsid w:val="00277DFC"/>
    <w:rsid w:val="00281320"/>
    <w:rsid w:val="002813AA"/>
    <w:rsid w:val="0028157D"/>
    <w:rsid w:val="0028164F"/>
    <w:rsid w:val="00282227"/>
    <w:rsid w:val="00282595"/>
    <w:rsid w:val="00283611"/>
    <w:rsid w:val="00285BC0"/>
    <w:rsid w:val="002864B1"/>
    <w:rsid w:val="0029260B"/>
    <w:rsid w:val="0029343B"/>
    <w:rsid w:val="00295195"/>
    <w:rsid w:val="00295DC6"/>
    <w:rsid w:val="0029711F"/>
    <w:rsid w:val="002A1EF5"/>
    <w:rsid w:val="002A3173"/>
    <w:rsid w:val="002A3EC7"/>
    <w:rsid w:val="002A4103"/>
    <w:rsid w:val="002A51B5"/>
    <w:rsid w:val="002A5A53"/>
    <w:rsid w:val="002A5AB7"/>
    <w:rsid w:val="002A5EF2"/>
    <w:rsid w:val="002B2DB5"/>
    <w:rsid w:val="002B3F3E"/>
    <w:rsid w:val="002B6DDF"/>
    <w:rsid w:val="002B78D5"/>
    <w:rsid w:val="002C0A0F"/>
    <w:rsid w:val="002C0BFC"/>
    <w:rsid w:val="002C17CB"/>
    <w:rsid w:val="002C1EBC"/>
    <w:rsid w:val="002C2010"/>
    <w:rsid w:val="002C463D"/>
    <w:rsid w:val="002C4BA3"/>
    <w:rsid w:val="002C5736"/>
    <w:rsid w:val="002D068F"/>
    <w:rsid w:val="002D108C"/>
    <w:rsid w:val="002E057A"/>
    <w:rsid w:val="002E0B1A"/>
    <w:rsid w:val="002E1715"/>
    <w:rsid w:val="002E1A88"/>
    <w:rsid w:val="002E200A"/>
    <w:rsid w:val="002E33AD"/>
    <w:rsid w:val="002E358B"/>
    <w:rsid w:val="002E3F96"/>
    <w:rsid w:val="002E436E"/>
    <w:rsid w:val="002E4545"/>
    <w:rsid w:val="002E46E4"/>
    <w:rsid w:val="002E4793"/>
    <w:rsid w:val="002E4949"/>
    <w:rsid w:val="002E7A86"/>
    <w:rsid w:val="002F0044"/>
    <w:rsid w:val="002F0132"/>
    <w:rsid w:val="002F06D6"/>
    <w:rsid w:val="002F1180"/>
    <w:rsid w:val="00300078"/>
    <w:rsid w:val="00300D02"/>
    <w:rsid w:val="00301361"/>
    <w:rsid w:val="00301399"/>
    <w:rsid w:val="00301CF9"/>
    <w:rsid w:val="00305F2B"/>
    <w:rsid w:val="00306A4F"/>
    <w:rsid w:val="00310B0F"/>
    <w:rsid w:val="00310CD4"/>
    <w:rsid w:val="00311782"/>
    <w:rsid w:val="00314C42"/>
    <w:rsid w:val="00314D9F"/>
    <w:rsid w:val="00316A10"/>
    <w:rsid w:val="00316E56"/>
    <w:rsid w:val="00316F69"/>
    <w:rsid w:val="00317342"/>
    <w:rsid w:val="00321DB4"/>
    <w:rsid w:val="00322B67"/>
    <w:rsid w:val="00322BEF"/>
    <w:rsid w:val="003230BB"/>
    <w:rsid w:val="003230DC"/>
    <w:rsid w:val="003232C4"/>
    <w:rsid w:val="00325575"/>
    <w:rsid w:val="0032717B"/>
    <w:rsid w:val="0032758D"/>
    <w:rsid w:val="00331520"/>
    <w:rsid w:val="00335F03"/>
    <w:rsid w:val="00336B48"/>
    <w:rsid w:val="00336D1F"/>
    <w:rsid w:val="00336D38"/>
    <w:rsid w:val="003374B2"/>
    <w:rsid w:val="0034102C"/>
    <w:rsid w:val="00341D77"/>
    <w:rsid w:val="00341F4D"/>
    <w:rsid w:val="00343671"/>
    <w:rsid w:val="003445FA"/>
    <w:rsid w:val="003448BA"/>
    <w:rsid w:val="00346434"/>
    <w:rsid w:val="00347504"/>
    <w:rsid w:val="00351D72"/>
    <w:rsid w:val="00351F1F"/>
    <w:rsid w:val="00352670"/>
    <w:rsid w:val="00356641"/>
    <w:rsid w:val="003579C6"/>
    <w:rsid w:val="00361BF9"/>
    <w:rsid w:val="003623D8"/>
    <w:rsid w:val="00363C85"/>
    <w:rsid w:val="003641D7"/>
    <w:rsid w:val="00364C01"/>
    <w:rsid w:val="00367DD3"/>
    <w:rsid w:val="00372EE7"/>
    <w:rsid w:val="00373735"/>
    <w:rsid w:val="00373D93"/>
    <w:rsid w:val="00373FCC"/>
    <w:rsid w:val="00374B79"/>
    <w:rsid w:val="00376ADD"/>
    <w:rsid w:val="00376EE6"/>
    <w:rsid w:val="00376F64"/>
    <w:rsid w:val="00382A3F"/>
    <w:rsid w:val="003848F0"/>
    <w:rsid w:val="003852C7"/>
    <w:rsid w:val="0038583D"/>
    <w:rsid w:val="0038594F"/>
    <w:rsid w:val="003865CE"/>
    <w:rsid w:val="00387249"/>
    <w:rsid w:val="00390FB6"/>
    <w:rsid w:val="00391591"/>
    <w:rsid w:val="00391604"/>
    <w:rsid w:val="00393554"/>
    <w:rsid w:val="00394BD0"/>
    <w:rsid w:val="00394C1B"/>
    <w:rsid w:val="00394DA7"/>
    <w:rsid w:val="003961F8"/>
    <w:rsid w:val="003A0C35"/>
    <w:rsid w:val="003A3AD9"/>
    <w:rsid w:val="003A3C8B"/>
    <w:rsid w:val="003A5B58"/>
    <w:rsid w:val="003A5DA5"/>
    <w:rsid w:val="003B1949"/>
    <w:rsid w:val="003B1DED"/>
    <w:rsid w:val="003B25BF"/>
    <w:rsid w:val="003B432E"/>
    <w:rsid w:val="003B4C9B"/>
    <w:rsid w:val="003B5A40"/>
    <w:rsid w:val="003B6246"/>
    <w:rsid w:val="003C432B"/>
    <w:rsid w:val="003C4372"/>
    <w:rsid w:val="003C4EF5"/>
    <w:rsid w:val="003C5EFA"/>
    <w:rsid w:val="003C6984"/>
    <w:rsid w:val="003C72BC"/>
    <w:rsid w:val="003C7724"/>
    <w:rsid w:val="003D0AEC"/>
    <w:rsid w:val="003D22D9"/>
    <w:rsid w:val="003D3082"/>
    <w:rsid w:val="003D368B"/>
    <w:rsid w:val="003D7006"/>
    <w:rsid w:val="003D753C"/>
    <w:rsid w:val="003D7FA5"/>
    <w:rsid w:val="003E0995"/>
    <w:rsid w:val="003E1F82"/>
    <w:rsid w:val="003E1F9E"/>
    <w:rsid w:val="003E39C1"/>
    <w:rsid w:val="003E664F"/>
    <w:rsid w:val="003F10A5"/>
    <w:rsid w:val="003F2FDB"/>
    <w:rsid w:val="003F3881"/>
    <w:rsid w:val="003F3ACF"/>
    <w:rsid w:val="003F713F"/>
    <w:rsid w:val="003F7188"/>
    <w:rsid w:val="004011C6"/>
    <w:rsid w:val="00401D5D"/>
    <w:rsid w:val="004023F1"/>
    <w:rsid w:val="004050B8"/>
    <w:rsid w:val="00405C34"/>
    <w:rsid w:val="004068AE"/>
    <w:rsid w:val="00406BF9"/>
    <w:rsid w:val="00407BAD"/>
    <w:rsid w:val="004109D5"/>
    <w:rsid w:val="00410ADE"/>
    <w:rsid w:val="004115C8"/>
    <w:rsid w:val="0041186F"/>
    <w:rsid w:val="00413BE5"/>
    <w:rsid w:val="00414287"/>
    <w:rsid w:val="004143EB"/>
    <w:rsid w:val="0041577D"/>
    <w:rsid w:val="004169D7"/>
    <w:rsid w:val="004174AC"/>
    <w:rsid w:val="00420625"/>
    <w:rsid w:val="0042116F"/>
    <w:rsid w:val="00422EEC"/>
    <w:rsid w:val="0042547C"/>
    <w:rsid w:val="004254F6"/>
    <w:rsid w:val="00425E2F"/>
    <w:rsid w:val="00426458"/>
    <w:rsid w:val="00426F73"/>
    <w:rsid w:val="0042797B"/>
    <w:rsid w:val="00427F49"/>
    <w:rsid w:val="004309FC"/>
    <w:rsid w:val="00430D99"/>
    <w:rsid w:val="0043135A"/>
    <w:rsid w:val="004327D8"/>
    <w:rsid w:val="004331CA"/>
    <w:rsid w:val="0043620E"/>
    <w:rsid w:val="0043687E"/>
    <w:rsid w:val="00436B6D"/>
    <w:rsid w:val="00437521"/>
    <w:rsid w:val="00441DD1"/>
    <w:rsid w:val="004427B4"/>
    <w:rsid w:val="00443EA5"/>
    <w:rsid w:val="00444EF0"/>
    <w:rsid w:val="00444F9E"/>
    <w:rsid w:val="00445CD4"/>
    <w:rsid w:val="00446D10"/>
    <w:rsid w:val="004506D5"/>
    <w:rsid w:val="00450D12"/>
    <w:rsid w:val="00451B49"/>
    <w:rsid w:val="00452B13"/>
    <w:rsid w:val="00452CD1"/>
    <w:rsid w:val="00453C8F"/>
    <w:rsid w:val="004571DD"/>
    <w:rsid w:val="00457A0D"/>
    <w:rsid w:val="0046007A"/>
    <w:rsid w:val="00460749"/>
    <w:rsid w:val="004609E5"/>
    <w:rsid w:val="00460ABB"/>
    <w:rsid w:val="00461423"/>
    <w:rsid w:val="004642F2"/>
    <w:rsid w:val="00465274"/>
    <w:rsid w:val="00466765"/>
    <w:rsid w:val="004667EE"/>
    <w:rsid w:val="00466BB8"/>
    <w:rsid w:val="00472B76"/>
    <w:rsid w:val="004746C5"/>
    <w:rsid w:val="0047748E"/>
    <w:rsid w:val="00483286"/>
    <w:rsid w:val="004843EF"/>
    <w:rsid w:val="00490474"/>
    <w:rsid w:val="00490734"/>
    <w:rsid w:val="00493D45"/>
    <w:rsid w:val="00494D65"/>
    <w:rsid w:val="00497F59"/>
    <w:rsid w:val="004A0DC9"/>
    <w:rsid w:val="004A1B3D"/>
    <w:rsid w:val="004A2ABD"/>
    <w:rsid w:val="004A5EB1"/>
    <w:rsid w:val="004A7C84"/>
    <w:rsid w:val="004B0164"/>
    <w:rsid w:val="004B08C6"/>
    <w:rsid w:val="004B3685"/>
    <w:rsid w:val="004B3AC6"/>
    <w:rsid w:val="004B6ABA"/>
    <w:rsid w:val="004C11D6"/>
    <w:rsid w:val="004C2C56"/>
    <w:rsid w:val="004C41A0"/>
    <w:rsid w:val="004C7B57"/>
    <w:rsid w:val="004D0687"/>
    <w:rsid w:val="004D1061"/>
    <w:rsid w:val="004D1D65"/>
    <w:rsid w:val="004D3398"/>
    <w:rsid w:val="004D37A9"/>
    <w:rsid w:val="004D3D60"/>
    <w:rsid w:val="004D4592"/>
    <w:rsid w:val="004D5A3A"/>
    <w:rsid w:val="004D64AF"/>
    <w:rsid w:val="004E0C37"/>
    <w:rsid w:val="004E11A1"/>
    <w:rsid w:val="004E1F90"/>
    <w:rsid w:val="004E3ED7"/>
    <w:rsid w:val="004E75D1"/>
    <w:rsid w:val="004F0FE2"/>
    <w:rsid w:val="004F15D1"/>
    <w:rsid w:val="004F2951"/>
    <w:rsid w:val="004F2A22"/>
    <w:rsid w:val="004F3895"/>
    <w:rsid w:val="004F4C48"/>
    <w:rsid w:val="004F4CA9"/>
    <w:rsid w:val="004F67B5"/>
    <w:rsid w:val="004F6BFD"/>
    <w:rsid w:val="004F762E"/>
    <w:rsid w:val="0050059E"/>
    <w:rsid w:val="00501B48"/>
    <w:rsid w:val="005035DE"/>
    <w:rsid w:val="0050377E"/>
    <w:rsid w:val="0050394B"/>
    <w:rsid w:val="00503A76"/>
    <w:rsid w:val="005047DD"/>
    <w:rsid w:val="005055E4"/>
    <w:rsid w:val="00505B7D"/>
    <w:rsid w:val="00506E1F"/>
    <w:rsid w:val="005070E1"/>
    <w:rsid w:val="005077C5"/>
    <w:rsid w:val="00511B06"/>
    <w:rsid w:val="00511E98"/>
    <w:rsid w:val="005124F7"/>
    <w:rsid w:val="005137F3"/>
    <w:rsid w:val="0051541D"/>
    <w:rsid w:val="00517ABA"/>
    <w:rsid w:val="00522B48"/>
    <w:rsid w:val="005230A0"/>
    <w:rsid w:val="00531743"/>
    <w:rsid w:val="00537053"/>
    <w:rsid w:val="00541143"/>
    <w:rsid w:val="0054159B"/>
    <w:rsid w:val="00542CD8"/>
    <w:rsid w:val="00542D74"/>
    <w:rsid w:val="00542F6E"/>
    <w:rsid w:val="005443A7"/>
    <w:rsid w:val="00544450"/>
    <w:rsid w:val="005457B9"/>
    <w:rsid w:val="0054668C"/>
    <w:rsid w:val="0054718F"/>
    <w:rsid w:val="00547FB7"/>
    <w:rsid w:val="00551763"/>
    <w:rsid w:val="00551B3D"/>
    <w:rsid w:val="00553DF3"/>
    <w:rsid w:val="005546FD"/>
    <w:rsid w:val="0055470F"/>
    <w:rsid w:val="005566D6"/>
    <w:rsid w:val="00556BBF"/>
    <w:rsid w:val="00562749"/>
    <w:rsid w:val="005627FA"/>
    <w:rsid w:val="00563ACD"/>
    <w:rsid w:val="00564981"/>
    <w:rsid w:val="005666F2"/>
    <w:rsid w:val="0056671F"/>
    <w:rsid w:val="005667C2"/>
    <w:rsid w:val="005721DF"/>
    <w:rsid w:val="005725A0"/>
    <w:rsid w:val="00573769"/>
    <w:rsid w:val="00575FF4"/>
    <w:rsid w:val="0057648E"/>
    <w:rsid w:val="005766D3"/>
    <w:rsid w:val="0057735C"/>
    <w:rsid w:val="0057784C"/>
    <w:rsid w:val="00577F40"/>
    <w:rsid w:val="005803C9"/>
    <w:rsid w:val="0058076B"/>
    <w:rsid w:val="00582A9E"/>
    <w:rsid w:val="005846E6"/>
    <w:rsid w:val="00584B0D"/>
    <w:rsid w:val="005855C1"/>
    <w:rsid w:val="0058633F"/>
    <w:rsid w:val="00591E20"/>
    <w:rsid w:val="0059249B"/>
    <w:rsid w:val="005927F3"/>
    <w:rsid w:val="00593C55"/>
    <w:rsid w:val="00594440"/>
    <w:rsid w:val="005948C2"/>
    <w:rsid w:val="005948ED"/>
    <w:rsid w:val="00595C3A"/>
    <w:rsid w:val="005971A9"/>
    <w:rsid w:val="0059758F"/>
    <w:rsid w:val="005A15A1"/>
    <w:rsid w:val="005A25BE"/>
    <w:rsid w:val="005A4B71"/>
    <w:rsid w:val="005A526C"/>
    <w:rsid w:val="005A5AA8"/>
    <w:rsid w:val="005B3A08"/>
    <w:rsid w:val="005B5429"/>
    <w:rsid w:val="005B5B83"/>
    <w:rsid w:val="005B60B3"/>
    <w:rsid w:val="005C02D1"/>
    <w:rsid w:val="005C0493"/>
    <w:rsid w:val="005C0CEA"/>
    <w:rsid w:val="005C1212"/>
    <w:rsid w:val="005C2570"/>
    <w:rsid w:val="005C26FC"/>
    <w:rsid w:val="005C3D8A"/>
    <w:rsid w:val="005C71B8"/>
    <w:rsid w:val="005D223F"/>
    <w:rsid w:val="005D27EB"/>
    <w:rsid w:val="005D3626"/>
    <w:rsid w:val="005D3E68"/>
    <w:rsid w:val="005D4075"/>
    <w:rsid w:val="005D7ECB"/>
    <w:rsid w:val="005E0365"/>
    <w:rsid w:val="005E1267"/>
    <w:rsid w:val="005E2203"/>
    <w:rsid w:val="005E491C"/>
    <w:rsid w:val="005E4C2B"/>
    <w:rsid w:val="005E7402"/>
    <w:rsid w:val="005E7B13"/>
    <w:rsid w:val="005F2384"/>
    <w:rsid w:val="005F2537"/>
    <w:rsid w:val="005F2CF8"/>
    <w:rsid w:val="005F3E0B"/>
    <w:rsid w:val="005F4B10"/>
    <w:rsid w:val="00601CB7"/>
    <w:rsid w:val="00604165"/>
    <w:rsid w:val="00604924"/>
    <w:rsid w:val="006055D7"/>
    <w:rsid w:val="00613878"/>
    <w:rsid w:val="006143F2"/>
    <w:rsid w:val="00614C67"/>
    <w:rsid w:val="00614F71"/>
    <w:rsid w:val="0061702D"/>
    <w:rsid w:val="00622C7A"/>
    <w:rsid w:val="006232A6"/>
    <w:rsid w:val="00632CD7"/>
    <w:rsid w:val="0063547B"/>
    <w:rsid w:val="006375B4"/>
    <w:rsid w:val="00642359"/>
    <w:rsid w:val="00642DC6"/>
    <w:rsid w:val="00643C67"/>
    <w:rsid w:val="006454AA"/>
    <w:rsid w:val="00647247"/>
    <w:rsid w:val="006473B7"/>
    <w:rsid w:val="00650A2B"/>
    <w:rsid w:val="00650E82"/>
    <w:rsid w:val="00652421"/>
    <w:rsid w:val="00652829"/>
    <w:rsid w:val="00653930"/>
    <w:rsid w:val="00655353"/>
    <w:rsid w:val="0065599A"/>
    <w:rsid w:val="00656C7A"/>
    <w:rsid w:val="00656F4C"/>
    <w:rsid w:val="006576CD"/>
    <w:rsid w:val="00663FA5"/>
    <w:rsid w:val="0066425A"/>
    <w:rsid w:val="0066492B"/>
    <w:rsid w:val="006674F6"/>
    <w:rsid w:val="00667A02"/>
    <w:rsid w:val="006721A0"/>
    <w:rsid w:val="006739CF"/>
    <w:rsid w:val="006742A1"/>
    <w:rsid w:val="006754BB"/>
    <w:rsid w:val="00675E84"/>
    <w:rsid w:val="0067653C"/>
    <w:rsid w:val="00677A79"/>
    <w:rsid w:val="00681E2F"/>
    <w:rsid w:val="00682C6A"/>
    <w:rsid w:val="006832C8"/>
    <w:rsid w:val="00683528"/>
    <w:rsid w:val="0069185C"/>
    <w:rsid w:val="00692846"/>
    <w:rsid w:val="0069390B"/>
    <w:rsid w:val="006939F2"/>
    <w:rsid w:val="006942D9"/>
    <w:rsid w:val="006953DA"/>
    <w:rsid w:val="0069673A"/>
    <w:rsid w:val="00697389"/>
    <w:rsid w:val="00697424"/>
    <w:rsid w:val="006A1B6D"/>
    <w:rsid w:val="006A33DD"/>
    <w:rsid w:val="006A3F18"/>
    <w:rsid w:val="006A532C"/>
    <w:rsid w:val="006A582C"/>
    <w:rsid w:val="006A633F"/>
    <w:rsid w:val="006A7625"/>
    <w:rsid w:val="006B1630"/>
    <w:rsid w:val="006B24D4"/>
    <w:rsid w:val="006B3783"/>
    <w:rsid w:val="006B394D"/>
    <w:rsid w:val="006B5418"/>
    <w:rsid w:val="006B62D0"/>
    <w:rsid w:val="006B641D"/>
    <w:rsid w:val="006C071F"/>
    <w:rsid w:val="006C1637"/>
    <w:rsid w:val="006C19E5"/>
    <w:rsid w:val="006C2638"/>
    <w:rsid w:val="006C3899"/>
    <w:rsid w:val="006C780D"/>
    <w:rsid w:val="006D0324"/>
    <w:rsid w:val="006D35DE"/>
    <w:rsid w:val="006D5AF3"/>
    <w:rsid w:val="006D5C36"/>
    <w:rsid w:val="006D6EEE"/>
    <w:rsid w:val="006E064D"/>
    <w:rsid w:val="006E2AFE"/>
    <w:rsid w:val="006E3DA3"/>
    <w:rsid w:val="006E4293"/>
    <w:rsid w:val="006E4C47"/>
    <w:rsid w:val="006E5681"/>
    <w:rsid w:val="006E58FB"/>
    <w:rsid w:val="006E7A8D"/>
    <w:rsid w:val="006F1A2A"/>
    <w:rsid w:val="006F21EF"/>
    <w:rsid w:val="006F269D"/>
    <w:rsid w:val="006F281F"/>
    <w:rsid w:val="006F52F7"/>
    <w:rsid w:val="00700219"/>
    <w:rsid w:val="00703B0E"/>
    <w:rsid w:val="00703D66"/>
    <w:rsid w:val="0070466B"/>
    <w:rsid w:val="007047D2"/>
    <w:rsid w:val="00704A09"/>
    <w:rsid w:val="00706A08"/>
    <w:rsid w:val="00707A3A"/>
    <w:rsid w:val="0071131E"/>
    <w:rsid w:val="0071192F"/>
    <w:rsid w:val="00711951"/>
    <w:rsid w:val="007122A8"/>
    <w:rsid w:val="007164F0"/>
    <w:rsid w:val="00720BFA"/>
    <w:rsid w:val="00721B69"/>
    <w:rsid w:val="007233F4"/>
    <w:rsid w:val="00723D31"/>
    <w:rsid w:val="00724947"/>
    <w:rsid w:val="00724F0E"/>
    <w:rsid w:val="007250B8"/>
    <w:rsid w:val="0072519B"/>
    <w:rsid w:val="007251F3"/>
    <w:rsid w:val="00726744"/>
    <w:rsid w:val="00730D59"/>
    <w:rsid w:val="00735DFC"/>
    <w:rsid w:val="00740434"/>
    <w:rsid w:val="00740B9E"/>
    <w:rsid w:val="007429DF"/>
    <w:rsid w:val="007437BF"/>
    <w:rsid w:val="00746705"/>
    <w:rsid w:val="007506CA"/>
    <w:rsid w:val="00750C77"/>
    <w:rsid w:val="0075170F"/>
    <w:rsid w:val="00752DD9"/>
    <w:rsid w:val="00753B84"/>
    <w:rsid w:val="00755A14"/>
    <w:rsid w:val="00760539"/>
    <w:rsid w:val="00760682"/>
    <w:rsid w:val="00761AF4"/>
    <w:rsid w:val="00762187"/>
    <w:rsid w:val="0076353B"/>
    <w:rsid w:val="00763808"/>
    <w:rsid w:val="007645AD"/>
    <w:rsid w:val="007654DF"/>
    <w:rsid w:val="007656F1"/>
    <w:rsid w:val="0076697D"/>
    <w:rsid w:val="00766EE1"/>
    <w:rsid w:val="007678B0"/>
    <w:rsid w:val="00770CFA"/>
    <w:rsid w:val="00770F40"/>
    <w:rsid w:val="00771DE7"/>
    <w:rsid w:val="0077350A"/>
    <w:rsid w:val="007758BA"/>
    <w:rsid w:val="00776E2D"/>
    <w:rsid w:val="0078015D"/>
    <w:rsid w:val="007801B4"/>
    <w:rsid w:val="007808C6"/>
    <w:rsid w:val="00780CD6"/>
    <w:rsid w:val="00781F9B"/>
    <w:rsid w:val="0078313B"/>
    <w:rsid w:val="00783C23"/>
    <w:rsid w:val="007841FB"/>
    <w:rsid w:val="007845B3"/>
    <w:rsid w:val="0078623C"/>
    <w:rsid w:val="0078692D"/>
    <w:rsid w:val="0078712A"/>
    <w:rsid w:val="007925CD"/>
    <w:rsid w:val="007930DC"/>
    <w:rsid w:val="00796C35"/>
    <w:rsid w:val="007A0988"/>
    <w:rsid w:val="007A4DEC"/>
    <w:rsid w:val="007A5B19"/>
    <w:rsid w:val="007A6578"/>
    <w:rsid w:val="007A690C"/>
    <w:rsid w:val="007A7C98"/>
    <w:rsid w:val="007B0BF0"/>
    <w:rsid w:val="007B10B4"/>
    <w:rsid w:val="007B1697"/>
    <w:rsid w:val="007B32EE"/>
    <w:rsid w:val="007B3E9C"/>
    <w:rsid w:val="007B6B9B"/>
    <w:rsid w:val="007C1A54"/>
    <w:rsid w:val="007C1EDE"/>
    <w:rsid w:val="007C3E67"/>
    <w:rsid w:val="007C4146"/>
    <w:rsid w:val="007C4943"/>
    <w:rsid w:val="007D2A36"/>
    <w:rsid w:val="007D46FA"/>
    <w:rsid w:val="007D5EFE"/>
    <w:rsid w:val="007D7AD8"/>
    <w:rsid w:val="007E04C5"/>
    <w:rsid w:val="007E0EB6"/>
    <w:rsid w:val="007E4EA2"/>
    <w:rsid w:val="007F0C5E"/>
    <w:rsid w:val="007F1DE8"/>
    <w:rsid w:val="007F3725"/>
    <w:rsid w:val="007F37E0"/>
    <w:rsid w:val="007F6CBD"/>
    <w:rsid w:val="00803B61"/>
    <w:rsid w:val="0080539D"/>
    <w:rsid w:val="00806156"/>
    <w:rsid w:val="008065E4"/>
    <w:rsid w:val="0080674C"/>
    <w:rsid w:val="008072C0"/>
    <w:rsid w:val="00807B55"/>
    <w:rsid w:val="00810493"/>
    <w:rsid w:val="008119DE"/>
    <w:rsid w:val="00812182"/>
    <w:rsid w:val="008121B2"/>
    <w:rsid w:val="00812DC3"/>
    <w:rsid w:val="0081364E"/>
    <w:rsid w:val="00813A08"/>
    <w:rsid w:val="00814861"/>
    <w:rsid w:val="00814DD7"/>
    <w:rsid w:val="00817EC2"/>
    <w:rsid w:val="00817FE5"/>
    <w:rsid w:val="00820E34"/>
    <w:rsid w:val="008236AB"/>
    <w:rsid w:val="00824272"/>
    <w:rsid w:val="00824837"/>
    <w:rsid w:val="00824936"/>
    <w:rsid w:val="00826BF0"/>
    <w:rsid w:val="00826C1A"/>
    <w:rsid w:val="00827DBA"/>
    <w:rsid w:val="00830A52"/>
    <w:rsid w:val="00833BF1"/>
    <w:rsid w:val="00833F57"/>
    <w:rsid w:val="0083482E"/>
    <w:rsid w:val="00834F3E"/>
    <w:rsid w:val="0083791E"/>
    <w:rsid w:val="008379C0"/>
    <w:rsid w:val="00840931"/>
    <w:rsid w:val="00843983"/>
    <w:rsid w:val="00844FE3"/>
    <w:rsid w:val="008458D7"/>
    <w:rsid w:val="0084607C"/>
    <w:rsid w:val="00846CFB"/>
    <w:rsid w:val="00853069"/>
    <w:rsid w:val="00853BA8"/>
    <w:rsid w:val="00854AE2"/>
    <w:rsid w:val="00860066"/>
    <w:rsid w:val="0086085C"/>
    <w:rsid w:val="00861E3F"/>
    <w:rsid w:val="00863F76"/>
    <w:rsid w:val="008656BD"/>
    <w:rsid w:val="00871902"/>
    <w:rsid w:val="00872C55"/>
    <w:rsid w:val="0087398F"/>
    <w:rsid w:val="00873CD7"/>
    <w:rsid w:val="0087637E"/>
    <w:rsid w:val="00877290"/>
    <w:rsid w:val="00880E1F"/>
    <w:rsid w:val="00881A4D"/>
    <w:rsid w:val="00882056"/>
    <w:rsid w:val="008824CB"/>
    <w:rsid w:val="00882DE6"/>
    <w:rsid w:val="00882EFC"/>
    <w:rsid w:val="00883152"/>
    <w:rsid w:val="00884AB4"/>
    <w:rsid w:val="00884BC7"/>
    <w:rsid w:val="00886D4B"/>
    <w:rsid w:val="00887EB1"/>
    <w:rsid w:val="00892BF3"/>
    <w:rsid w:val="00893849"/>
    <w:rsid w:val="0089402B"/>
    <w:rsid w:val="00894430"/>
    <w:rsid w:val="00894DFC"/>
    <w:rsid w:val="0089790A"/>
    <w:rsid w:val="00897F4D"/>
    <w:rsid w:val="008A25E6"/>
    <w:rsid w:val="008A3AEA"/>
    <w:rsid w:val="008A43F5"/>
    <w:rsid w:val="008A534F"/>
    <w:rsid w:val="008A633C"/>
    <w:rsid w:val="008A706A"/>
    <w:rsid w:val="008A7621"/>
    <w:rsid w:val="008B325D"/>
    <w:rsid w:val="008B36C5"/>
    <w:rsid w:val="008B3854"/>
    <w:rsid w:val="008B4F35"/>
    <w:rsid w:val="008B5580"/>
    <w:rsid w:val="008C0264"/>
    <w:rsid w:val="008C02FD"/>
    <w:rsid w:val="008C28B2"/>
    <w:rsid w:val="008C2B8B"/>
    <w:rsid w:val="008C3D51"/>
    <w:rsid w:val="008C498E"/>
    <w:rsid w:val="008C6A18"/>
    <w:rsid w:val="008C7335"/>
    <w:rsid w:val="008D45EA"/>
    <w:rsid w:val="008D59B1"/>
    <w:rsid w:val="008D63E0"/>
    <w:rsid w:val="008D750D"/>
    <w:rsid w:val="008E169D"/>
    <w:rsid w:val="008E2DE1"/>
    <w:rsid w:val="008E36A3"/>
    <w:rsid w:val="008E372B"/>
    <w:rsid w:val="008E45C4"/>
    <w:rsid w:val="008E5F08"/>
    <w:rsid w:val="008E6482"/>
    <w:rsid w:val="008E7E15"/>
    <w:rsid w:val="008F01A2"/>
    <w:rsid w:val="008F285B"/>
    <w:rsid w:val="008F31E3"/>
    <w:rsid w:val="008F417C"/>
    <w:rsid w:val="008F46E8"/>
    <w:rsid w:val="008F477D"/>
    <w:rsid w:val="008F6E88"/>
    <w:rsid w:val="008F7A2A"/>
    <w:rsid w:val="00900A8D"/>
    <w:rsid w:val="00901D6B"/>
    <w:rsid w:val="009042E7"/>
    <w:rsid w:val="00906572"/>
    <w:rsid w:val="00906B31"/>
    <w:rsid w:val="00906B51"/>
    <w:rsid w:val="0090717F"/>
    <w:rsid w:val="009073B7"/>
    <w:rsid w:val="00910747"/>
    <w:rsid w:val="0091330C"/>
    <w:rsid w:val="00914C12"/>
    <w:rsid w:val="00916F25"/>
    <w:rsid w:val="00920771"/>
    <w:rsid w:val="0092293F"/>
    <w:rsid w:val="009229D1"/>
    <w:rsid w:val="0092502E"/>
    <w:rsid w:val="009254C6"/>
    <w:rsid w:val="00925C5A"/>
    <w:rsid w:val="00926298"/>
    <w:rsid w:val="00927BC3"/>
    <w:rsid w:val="0093081E"/>
    <w:rsid w:val="0093337E"/>
    <w:rsid w:val="00935EA5"/>
    <w:rsid w:val="00941954"/>
    <w:rsid w:val="009431BE"/>
    <w:rsid w:val="00945038"/>
    <w:rsid w:val="00946904"/>
    <w:rsid w:val="0095085E"/>
    <w:rsid w:val="00952458"/>
    <w:rsid w:val="009525EF"/>
    <w:rsid w:val="009528AD"/>
    <w:rsid w:val="00952910"/>
    <w:rsid w:val="00956024"/>
    <w:rsid w:val="00961380"/>
    <w:rsid w:val="00961FEA"/>
    <w:rsid w:val="00965A55"/>
    <w:rsid w:val="00966230"/>
    <w:rsid w:val="00967F0C"/>
    <w:rsid w:val="0097116E"/>
    <w:rsid w:val="00973BC1"/>
    <w:rsid w:val="00973D7F"/>
    <w:rsid w:val="0097426C"/>
    <w:rsid w:val="009750D3"/>
    <w:rsid w:val="009752F0"/>
    <w:rsid w:val="009759E7"/>
    <w:rsid w:val="00975E24"/>
    <w:rsid w:val="00976457"/>
    <w:rsid w:val="009801A0"/>
    <w:rsid w:val="00980698"/>
    <w:rsid w:val="00982089"/>
    <w:rsid w:val="009828D1"/>
    <w:rsid w:val="0098366D"/>
    <w:rsid w:val="00983D9B"/>
    <w:rsid w:val="00984B23"/>
    <w:rsid w:val="00984DDC"/>
    <w:rsid w:val="009867DF"/>
    <w:rsid w:val="00991002"/>
    <w:rsid w:val="0099691F"/>
    <w:rsid w:val="009973D9"/>
    <w:rsid w:val="00997884"/>
    <w:rsid w:val="009A0A67"/>
    <w:rsid w:val="009A3E94"/>
    <w:rsid w:val="009A3F5B"/>
    <w:rsid w:val="009A66F5"/>
    <w:rsid w:val="009A7850"/>
    <w:rsid w:val="009A7FA9"/>
    <w:rsid w:val="009B087C"/>
    <w:rsid w:val="009B1575"/>
    <w:rsid w:val="009B16F6"/>
    <w:rsid w:val="009B1B4B"/>
    <w:rsid w:val="009B1CEE"/>
    <w:rsid w:val="009B3FBA"/>
    <w:rsid w:val="009B67DC"/>
    <w:rsid w:val="009B69CC"/>
    <w:rsid w:val="009B6DDC"/>
    <w:rsid w:val="009C121D"/>
    <w:rsid w:val="009C15FA"/>
    <w:rsid w:val="009C2EAE"/>
    <w:rsid w:val="009C310B"/>
    <w:rsid w:val="009C4024"/>
    <w:rsid w:val="009C4E64"/>
    <w:rsid w:val="009C6673"/>
    <w:rsid w:val="009C6AD7"/>
    <w:rsid w:val="009C77A9"/>
    <w:rsid w:val="009C7DD7"/>
    <w:rsid w:val="009D06E8"/>
    <w:rsid w:val="009D171E"/>
    <w:rsid w:val="009D3B3F"/>
    <w:rsid w:val="009D4CCD"/>
    <w:rsid w:val="009D5AF1"/>
    <w:rsid w:val="009D6053"/>
    <w:rsid w:val="009D75D0"/>
    <w:rsid w:val="009D76AA"/>
    <w:rsid w:val="009D7F96"/>
    <w:rsid w:val="009E2573"/>
    <w:rsid w:val="009E2E57"/>
    <w:rsid w:val="009E41E2"/>
    <w:rsid w:val="009E4618"/>
    <w:rsid w:val="009E5D4C"/>
    <w:rsid w:val="009F0D9C"/>
    <w:rsid w:val="009F1B64"/>
    <w:rsid w:val="009F3055"/>
    <w:rsid w:val="009F55C4"/>
    <w:rsid w:val="00A0136A"/>
    <w:rsid w:val="00A02E2D"/>
    <w:rsid w:val="00A03A1D"/>
    <w:rsid w:val="00A05DB8"/>
    <w:rsid w:val="00A065F3"/>
    <w:rsid w:val="00A07823"/>
    <w:rsid w:val="00A07C21"/>
    <w:rsid w:val="00A116CF"/>
    <w:rsid w:val="00A141BE"/>
    <w:rsid w:val="00A16F28"/>
    <w:rsid w:val="00A20A9B"/>
    <w:rsid w:val="00A22AE4"/>
    <w:rsid w:val="00A23999"/>
    <w:rsid w:val="00A24784"/>
    <w:rsid w:val="00A27014"/>
    <w:rsid w:val="00A27F34"/>
    <w:rsid w:val="00A30F03"/>
    <w:rsid w:val="00A35F22"/>
    <w:rsid w:val="00A43D64"/>
    <w:rsid w:val="00A4406D"/>
    <w:rsid w:val="00A45628"/>
    <w:rsid w:val="00A52E59"/>
    <w:rsid w:val="00A536B6"/>
    <w:rsid w:val="00A636BD"/>
    <w:rsid w:val="00A63F60"/>
    <w:rsid w:val="00A65165"/>
    <w:rsid w:val="00A671F1"/>
    <w:rsid w:val="00A7218B"/>
    <w:rsid w:val="00A72428"/>
    <w:rsid w:val="00A7384F"/>
    <w:rsid w:val="00A74D70"/>
    <w:rsid w:val="00A80BFE"/>
    <w:rsid w:val="00A8108E"/>
    <w:rsid w:val="00A815D5"/>
    <w:rsid w:val="00A817E7"/>
    <w:rsid w:val="00A82CC5"/>
    <w:rsid w:val="00A835B8"/>
    <w:rsid w:val="00A850BF"/>
    <w:rsid w:val="00A8583E"/>
    <w:rsid w:val="00A86F26"/>
    <w:rsid w:val="00A8791F"/>
    <w:rsid w:val="00A9229D"/>
    <w:rsid w:val="00A9322B"/>
    <w:rsid w:val="00A957BF"/>
    <w:rsid w:val="00A95C53"/>
    <w:rsid w:val="00A96FCC"/>
    <w:rsid w:val="00AA2A1F"/>
    <w:rsid w:val="00AA419F"/>
    <w:rsid w:val="00AA5C7E"/>
    <w:rsid w:val="00AA64A7"/>
    <w:rsid w:val="00AB20DA"/>
    <w:rsid w:val="00AB2B23"/>
    <w:rsid w:val="00AB336B"/>
    <w:rsid w:val="00AB3A31"/>
    <w:rsid w:val="00AB48D5"/>
    <w:rsid w:val="00AB4AC8"/>
    <w:rsid w:val="00AB7343"/>
    <w:rsid w:val="00AC1582"/>
    <w:rsid w:val="00AC1A2F"/>
    <w:rsid w:val="00AC27FF"/>
    <w:rsid w:val="00AD0C35"/>
    <w:rsid w:val="00AD1CC1"/>
    <w:rsid w:val="00AD4855"/>
    <w:rsid w:val="00AD5C0B"/>
    <w:rsid w:val="00AD73E5"/>
    <w:rsid w:val="00AE030A"/>
    <w:rsid w:val="00AE1D91"/>
    <w:rsid w:val="00AE4327"/>
    <w:rsid w:val="00AE4B05"/>
    <w:rsid w:val="00AE4E8E"/>
    <w:rsid w:val="00AE52B4"/>
    <w:rsid w:val="00AE6DE0"/>
    <w:rsid w:val="00AF458C"/>
    <w:rsid w:val="00AF5601"/>
    <w:rsid w:val="00AF5A99"/>
    <w:rsid w:val="00AF70B9"/>
    <w:rsid w:val="00AF7DBF"/>
    <w:rsid w:val="00B00447"/>
    <w:rsid w:val="00B00729"/>
    <w:rsid w:val="00B00865"/>
    <w:rsid w:val="00B02BC1"/>
    <w:rsid w:val="00B033B6"/>
    <w:rsid w:val="00B03645"/>
    <w:rsid w:val="00B04B55"/>
    <w:rsid w:val="00B0521B"/>
    <w:rsid w:val="00B06D68"/>
    <w:rsid w:val="00B07750"/>
    <w:rsid w:val="00B078D1"/>
    <w:rsid w:val="00B16611"/>
    <w:rsid w:val="00B16882"/>
    <w:rsid w:val="00B1699D"/>
    <w:rsid w:val="00B17388"/>
    <w:rsid w:val="00B174CC"/>
    <w:rsid w:val="00B1766B"/>
    <w:rsid w:val="00B178DC"/>
    <w:rsid w:val="00B200F5"/>
    <w:rsid w:val="00B20179"/>
    <w:rsid w:val="00B2053C"/>
    <w:rsid w:val="00B2089F"/>
    <w:rsid w:val="00B21348"/>
    <w:rsid w:val="00B221F4"/>
    <w:rsid w:val="00B23940"/>
    <w:rsid w:val="00B25EBF"/>
    <w:rsid w:val="00B27103"/>
    <w:rsid w:val="00B322B0"/>
    <w:rsid w:val="00B34E66"/>
    <w:rsid w:val="00B35AA4"/>
    <w:rsid w:val="00B3766C"/>
    <w:rsid w:val="00B40566"/>
    <w:rsid w:val="00B40F92"/>
    <w:rsid w:val="00B4100D"/>
    <w:rsid w:val="00B41FF4"/>
    <w:rsid w:val="00B423AF"/>
    <w:rsid w:val="00B42F91"/>
    <w:rsid w:val="00B43CBE"/>
    <w:rsid w:val="00B47507"/>
    <w:rsid w:val="00B51A59"/>
    <w:rsid w:val="00B555AC"/>
    <w:rsid w:val="00B57DB2"/>
    <w:rsid w:val="00B64EF1"/>
    <w:rsid w:val="00B66B55"/>
    <w:rsid w:val="00B716F5"/>
    <w:rsid w:val="00B73003"/>
    <w:rsid w:val="00B73460"/>
    <w:rsid w:val="00B734CE"/>
    <w:rsid w:val="00B74FE1"/>
    <w:rsid w:val="00B75BB4"/>
    <w:rsid w:val="00B760AE"/>
    <w:rsid w:val="00B76922"/>
    <w:rsid w:val="00B76EE3"/>
    <w:rsid w:val="00B76F65"/>
    <w:rsid w:val="00B77E89"/>
    <w:rsid w:val="00B8057B"/>
    <w:rsid w:val="00B81F1B"/>
    <w:rsid w:val="00B82612"/>
    <w:rsid w:val="00B82898"/>
    <w:rsid w:val="00B848C5"/>
    <w:rsid w:val="00B863E4"/>
    <w:rsid w:val="00B900E1"/>
    <w:rsid w:val="00B9196F"/>
    <w:rsid w:val="00B92713"/>
    <w:rsid w:val="00B93D42"/>
    <w:rsid w:val="00B9471F"/>
    <w:rsid w:val="00B963D1"/>
    <w:rsid w:val="00B96607"/>
    <w:rsid w:val="00B96D3C"/>
    <w:rsid w:val="00BA05F0"/>
    <w:rsid w:val="00BA08CC"/>
    <w:rsid w:val="00BA1BC9"/>
    <w:rsid w:val="00BA2CC9"/>
    <w:rsid w:val="00BA3773"/>
    <w:rsid w:val="00BA413F"/>
    <w:rsid w:val="00BA426C"/>
    <w:rsid w:val="00BA5490"/>
    <w:rsid w:val="00BA6068"/>
    <w:rsid w:val="00BA7EF4"/>
    <w:rsid w:val="00BB0461"/>
    <w:rsid w:val="00BB3742"/>
    <w:rsid w:val="00BB3F9F"/>
    <w:rsid w:val="00BB5410"/>
    <w:rsid w:val="00BB59DA"/>
    <w:rsid w:val="00BB5B38"/>
    <w:rsid w:val="00BB6AB6"/>
    <w:rsid w:val="00BB7DCF"/>
    <w:rsid w:val="00BC2BC7"/>
    <w:rsid w:val="00BC359B"/>
    <w:rsid w:val="00BC5595"/>
    <w:rsid w:val="00BC6A01"/>
    <w:rsid w:val="00BD16C0"/>
    <w:rsid w:val="00BD2073"/>
    <w:rsid w:val="00BD3BF1"/>
    <w:rsid w:val="00BD5B01"/>
    <w:rsid w:val="00BD787B"/>
    <w:rsid w:val="00BE07E5"/>
    <w:rsid w:val="00BE2E3F"/>
    <w:rsid w:val="00BE2EE9"/>
    <w:rsid w:val="00BE4E96"/>
    <w:rsid w:val="00BE63FE"/>
    <w:rsid w:val="00BE672F"/>
    <w:rsid w:val="00BF01F0"/>
    <w:rsid w:val="00BF2B95"/>
    <w:rsid w:val="00BF2C44"/>
    <w:rsid w:val="00BF2E85"/>
    <w:rsid w:val="00C00E12"/>
    <w:rsid w:val="00C034DF"/>
    <w:rsid w:val="00C03B83"/>
    <w:rsid w:val="00C05018"/>
    <w:rsid w:val="00C06791"/>
    <w:rsid w:val="00C07415"/>
    <w:rsid w:val="00C106D0"/>
    <w:rsid w:val="00C109DE"/>
    <w:rsid w:val="00C11934"/>
    <w:rsid w:val="00C139CB"/>
    <w:rsid w:val="00C152FD"/>
    <w:rsid w:val="00C20729"/>
    <w:rsid w:val="00C2173D"/>
    <w:rsid w:val="00C22048"/>
    <w:rsid w:val="00C226D4"/>
    <w:rsid w:val="00C2502A"/>
    <w:rsid w:val="00C2740A"/>
    <w:rsid w:val="00C27457"/>
    <w:rsid w:val="00C27876"/>
    <w:rsid w:val="00C30E24"/>
    <w:rsid w:val="00C31370"/>
    <w:rsid w:val="00C327EB"/>
    <w:rsid w:val="00C33319"/>
    <w:rsid w:val="00C342E2"/>
    <w:rsid w:val="00C34999"/>
    <w:rsid w:val="00C35135"/>
    <w:rsid w:val="00C35A4E"/>
    <w:rsid w:val="00C35ED3"/>
    <w:rsid w:val="00C35F03"/>
    <w:rsid w:val="00C36AFD"/>
    <w:rsid w:val="00C51372"/>
    <w:rsid w:val="00C517E8"/>
    <w:rsid w:val="00C51E4B"/>
    <w:rsid w:val="00C51F2D"/>
    <w:rsid w:val="00C52BDB"/>
    <w:rsid w:val="00C55DE3"/>
    <w:rsid w:val="00C576B1"/>
    <w:rsid w:val="00C626F0"/>
    <w:rsid w:val="00C645F6"/>
    <w:rsid w:val="00C65031"/>
    <w:rsid w:val="00C678F4"/>
    <w:rsid w:val="00C67EDC"/>
    <w:rsid w:val="00C70C86"/>
    <w:rsid w:val="00C710EA"/>
    <w:rsid w:val="00C71D9C"/>
    <w:rsid w:val="00C72A86"/>
    <w:rsid w:val="00C73A28"/>
    <w:rsid w:val="00C74545"/>
    <w:rsid w:val="00C74BCF"/>
    <w:rsid w:val="00C75D8B"/>
    <w:rsid w:val="00C80042"/>
    <w:rsid w:val="00C83FDC"/>
    <w:rsid w:val="00C86D99"/>
    <w:rsid w:val="00C90744"/>
    <w:rsid w:val="00C90A3F"/>
    <w:rsid w:val="00C915A2"/>
    <w:rsid w:val="00C9304C"/>
    <w:rsid w:val="00C94019"/>
    <w:rsid w:val="00C9551D"/>
    <w:rsid w:val="00C95843"/>
    <w:rsid w:val="00C95DE5"/>
    <w:rsid w:val="00CA0406"/>
    <w:rsid w:val="00CA13A1"/>
    <w:rsid w:val="00CA1CD6"/>
    <w:rsid w:val="00CA29C3"/>
    <w:rsid w:val="00CA2D1C"/>
    <w:rsid w:val="00CA4ED6"/>
    <w:rsid w:val="00CA595F"/>
    <w:rsid w:val="00CB19A5"/>
    <w:rsid w:val="00CB2517"/>
    <w:rsid w:val="00CB3BC3"/>
    <w:rsid w:val="00CB4131"/>
    <w:rsid w:val="00CB423D"/>
    <w:rsid w:val="00CB64D9"/>
    <w:rsid w:val="00CB6E64"/>
    <w:rsid w:val="00CB7AC5"/>
    <w:rsid w:val="00CC191A"/>
    <w:rsid w:val="00CC2050"/>
    <w:rsid w:val="00CC239C"/>
    <w:rsid w:val="00CC2F4E"/>
    <w:rsid w:val="00CC3193"/>
    <w:rsid w:val="00CC43E2"/>
    <w:rsid w:val="00CC6A17"/>
    <w:rsid w:val="00CD1BAB"/>
    <w:rsid w:val="00CD2BEF"/>
    <w:rsid w:val="00CD3F9F"/>
    <w:rsid w:val="00CD5190"/>
    <w:rsid w:val="00CD5515"/>
    <w:rsid w:val="00CD5D53"/>
    <w:rsid w:val="00CD7207"/>
    <w:rsid w:val="00CE0AF7"/>
    <w:rsid w:val="00CE22CA"/>
    <w:rsid w:val="00CE23E3"/>
    <w:rsid w:val="00CE4636"/>
    <w:rsid w:val="00CE4BB4"/>
    <w:rsid w:val="00CE701B"/>
    <w:rsid w:val="00CF004D"/>
    <w:rsid w:val="00CF1F27"/>
    <w:rsid w:val="00CF397E"/>
    <w:rsid w:val="00CF3AA4"/>
    <w:rsid w:val="00CF5226"/>
    <w:rsid w:val="00CF53DF"/>
    <w:rsid w:val="00CF5414"/>
    <w:rsid w:val="00CF62B5"/>
    <w:rsid w:val="00CF7A9F"/>
    <w:rsid w:val="00D004A8"/>
    <w:rsid w:val="00D00FE8"/>
    <w:rsid w:val="00D03948"/>
    <w:rsid w:val="00D0459D"/>
    <w:rsid w:val="00D07C27"/>
    <w:rsid w:val="00D07D15"/>
    <w:rsid w:val="00D110F2"/>
    <w:rsid w:val="00D12359"/>
    <w:rsid w:val="00D126C2"/>
    <w:rsid w:val="00D146BF"/>
    <w:rsid w:val="00D200B3"/>
    <w:rsid w:val="00D21902"/>
    <w:rsid w:val="00D27E0F"/>
    <w:rsid w:val="00D27E9C"/>
    <w:rsid w:val="00D344FB"/>
    <w:rsid w:val="00D35599"/>
    <w:rsid w:val="00D359D7"/>
    <w:rsid w:val="00D3769F"/>
    <w:rsid w:val="00D40536"/>
    <w:rsid w:val="00D40D35"/>
    <w:rsid w:val="00D41292"/>
    <w:rsid w:val="00D41416"/>
    <w:rsid w:val="00D41577"/>
    <w:rsid w:val="00D43874"/>
    <w:rsid w:val="00D503A7"/>
    <w:rsid w:val="00D518BF"/>
    <w:rsid w:val="00D55F70"/>
    <w:rsid w:val="00D56FB5"/>
    <w:rsid w:val="00D57E61"/>
    <w:rsid w:val="00D6210B"/>
    <w:rsid w:val="00D63C9D"/>
    <w:rsid w:val="00D6444A"/>
    <w:rsid w:val="00D6499A"/>
    <w:rsid w:val="00D65AA9"/>
    <w:rsid w:val="00D66752"/>
    <w:rsid w:val="00D66842"/>
    <w:rsid w:val="00D70B4C"/>
    <w:rsid w:val="00D7113B"/>
    <w:rsid w:val="00D739F9"/>
    <w:rsid w:val="00D74BC1"/>
    <w:rsid w:val="00D74CC1"/>
    <w:rsid w:val="00D75C56"/>
    <w:rsid w:val="00D8080A"/>
    <w:rsid w:val="00D82488"/>
    <w:rsid w:val="00D8402B"/>
    <w:rsid w:val="00D86D41"/>
    <w:rsid w:val="00D928A1"/>
    <w:rsid w:val="00D92A65"/>
    <w:rsid w:val="00D9410C"/>
    <w:rsid w:val="00D946DE"/>
    <w:rsid w:val="00D94CCB"/>
    <w:rsid w:val="00D953DB"/>
    <w:rsid w:val="00D95D34"/>
    <w:rsid w:val="00D96EF8"/>
    <w:rsid w:val="00DA2D65"/>
    <w:rsid w:val="00DA346C"/>
    <w:rsid w:val="00DA497A"/>
    <w:rsid w:val="00DA49D6"/>
    <w:rsid w:val="00DA6BA9"/>
    <w:rsid w:val="00DA7173"/>
    <w:rsid w:val="00DB391B"/>
    <w:rsid w:val="00DB3A2F"/>
    <w:rsid w:val="00DC26A2"/>
    <w:rsid w:val="00DC3EC2"/>
    <w:rsid w:val="00DC41E2"/>
    <w:rsid w:val="00DC41E7"/>
    <w:rsid w:val="00DC4351"/>
    <w:rsid w:val="00DC4AC4"/>
    <w:rsid w:val="00DC4BEA"/>
    <w:rsid w:val="00DC5594"/>
    <w:rsid w:val="00DC61CB"/>
    <w:rsid w:val="00DC6ED6"/>
    <w:rsid w:val="00DC7071"/>
    <w:rsid w:val="00DD11BD"/>
    <w:rsid w:val="00DD5629"/>
    <w:rsid w:val="00DD6023"/>
    <w:rsid w:val="00DD716E"/>
    <w:rsid w:val="00DD7223"/>
    <w:rsid w:val="00DD7853"/>
    <w:rsid w:val="00DE1E64"/>
    <w:rsid w:val="00DE249D"/>
    <w:rsid w:val="00DE25A6"/>
    <w:rsid w:val="00DE2CE7"/>
    <w:rsid w:val="00DE3B01"/>
    <w:rsid w:val="00DE3DA2"/>
    <w:rsid w:val="00DE4CBF"/>
    <w:rsid w:val="00DE5262"/>
    <w:rsid w:val="00DE6396"/>
    <w:rsid w:val="00DF53C7"/>
    <w:rsid w:val="00E00EB2"/>
    <w:rsid w:val="00E01254"/>
    <w:rsid w:val="00E014C7"/>
    <w:rsid w:val="00E03C79"/>
    <w:rsid w:val="00E0545A"/>
    <w:rsid w:val="00E059A0"/>
    <w:rsid w:val="00E07523"/>
    <w:rsid w:val="00E075BD"/>
    <w:rsid w:val="00E12EA7"/>
    <w:rsid w:val="00E1507E"/>
    <w:rsid w:val="00E16356"/>
    <w:rsid w:val="00E16B8E"/>
    <w:rsid w:val="00E17AF8"/>
    <w:rsid w:val="00E21B02"/>
    <w:rsid w:val="00E2320E"/>
    <w:rsid w:val="00E24A01"/>
    <w:rsid w:val="00E265AA"/>
    <w:rsid w:val="00E26C4C"/>
    <w:rsid w:val="00E30C3B"/>
    <w:rsid w:val="00E3238C"/>
    <w:rsid w:val="00E35217"/>
    <w:rsid w:val="00E35B5A"/>
    <w:rsid w:val="00E3736F"/>
    <w:rsid w:val="00E40D8C"/>
    <w:rsid w:val="00E44021"/>
    <w:rsid w:val="00E46640"/>
    <w:rsid w:val="00E5135E"/>
    <w:rsid w:val="00E5664B"/>
    <w:rsid w:val="00E57436"/>
    <w:rsid w:val="00E57DAD"/>
    <w:rsid w:val="00E6237D"/>
    <w:rsid w:val="00E62DA9"/>
    <w:rsid w:val="00E62F58"/>
    <w:rsid w:val="00E640D7"/>
    <w:rsid w:val="00E65175"/>
    <w:rsid w:val="00E66057"/>
    <w:rsid w:val="00E67738"/>
    <w:rsid w:val="00E7002F"/>
    <w:rsid w:val="00E71649"/>
    <w:rsid w:val="00E716E9"/>
    <w:rsid w:val="00E73761"/>
    <w:rsid w:val="00E73F6C"/>
    <w:rsid w:val="00E7473C"/>
    <w:rsid w:val="00E74C2C"/>
    <w:rsid w:val="00E75ADA"/>
    <w:rsid w:val="00E75D67"/>
    <w:rsid w:val="00E769F3"/>
    <w:rsid w:val="00E81C0F"/>
    <w:rsid w:val="00E81D92"/>
    <w:rsid w:val="00E82B1C"/>
    <w:rsid w:val="00E82E0A"/>
    <w:rsid w:val="00E82E61"/>
    <w:rsid w:val="00E847C7"/>
    <w:rsid w:val="00E8551F"/>
    <w:rsid w:val="00E856FF"/>
    <w:rsid w:val="00E8793F"/>
    <w:rsid w:val="00E87EA2"/>
    <w:rsid w:val="00E91620"/>
    <w:rsid w:val="00E934C6"/>
    <w:rsid w:val="00E93DF5"/>
    <w:rsid w:val="00E973DD"/>
    <w:rsid w:val="00E97C0A"/>
    <w:rsid w:val="00EA150C"/>
    <w:rsid w:val="00EA34CE"/>
    <w:rsid w:val="00EA3925"/>
    <w:rsid w:val="00EA4060"/>
    <w:rsid w:val="00EA4D7F"/>
    <w:rsid w:val="00EA624E"/>
    <w:rsid w:val="00EA6A04"/>
    <w:rsid w:val="00EB043C"/>
    <w:rsid w:val="00EB0EE4"/>
    <w:rsid w:val="00EB10CC"/>
    <w:rsid w:val="00EB15A4"/>
    <w:rsid w:val="00EB3ABE"/>
    <w:rsid w:val="00EB5A8A"/>
    <w:rsid w:val="00EB5CA9"/>
    <w:rsid w:val="00EB5CB7"/>
    <w:rsid w:val="00EB7DC6"/>
    <w:rsid w:val="00EC12EE"/>
    <w:rsid w:val="00EC4608"/>
    <w:rsid w:val="00EC4F5E"/>
    <w:rsid w:val="00EC5907"/>
    <w:rsid w:val="00EC5B29"/>
    <w:rsid w:val="00EC6AAE"/>
    <w:rsid w:val="00ED1682"/>
    <w:rsid w:val="00ED6656"/>
    <w:rsid w:val="00ED6BE7"/>
    <w:rsid w:val="00ED7E7D"/>
    <w:rsid w:val="00EE2BED"/>
    <w:rsid w:val="00EE773E"/>
    <w:rsid w:val="00EF08F1"/>
    <w:rsid w:val="00EF2910"/>
    <w:rsid w:val="00EF497D"/>
    <w:rsid w:val="00EF49AC"/>
    <w:rsid w:val="00EF4F8F"/>
    <w:rsid w:val="00EF654B"/>
    <w:rsid w:val="00EF799F"/>
    <w:rsid w:val="00F00BDC"/>
    <w:rsid w:val="00F00DE3"/>
    <w:rsid w:val="00F02996"/>
    <w:rsid w:val="00F02F24"/>
    <w:rsid w:val="00F03819"/>
    <w:rsid w:val="00F04338"/>
    <w:rsid w:val="00F04F33"/>
    <w:rsid w:val="00F04FD1"/>
    <w:rsid w:val="00F05530"/>
    <w:rsid w:val="00F10A5C"/>
    <w:rsid w:val="00F11B45"/>
    <w:rsid w:val="00F11E37"/>
    <w:rsid w:val="00F121A1"/>
    <w:rsid w:val="00F14E95"/>
    <w:rsid w:val="00F21419"/>
    <w:rsid w:val="00F21FB4"/>
    <w:rsid w:val="00F248AD"/>
    <w:rsid w:val="00F2506F"/>
    <w:rsid w:val="00F26A5C"/>
    <w:rsid w:val="00F26A6F"/>
    <w:rsid w:val="00F26C1A"/>
    <w:rsid w:val="00F31B5F"/>
    <w:rsid w:val="00F3342B"/>
    <w:rsid w:val="00F33522"/>
    <w:rsid w:val="00F34062"/>
    <w:rsid w:val="00F342C3"/>
    <w:rsid w:val="00F35DFE"/>
    <w:rsid w:val="00F36B3B"/>
    <w:rsid w:val="00F36F11"/>
    <w:rsid w:val="00F37EB6"/>
    <w:rsid w:val="00F4005C"/>
    <w:rsid w:val="00F42C3B"/>
    <w:rsid w:val="00F4447C"/>
    <w:rsid w:val="00F44691"/>
    <w:rsid w:val="00F4521A"/>
    <w:rsid w:val="00F50513"/>
    <w:rsid w:val="00F50795"/>
    <w:rsid w:val="00F511A1"/>
    <w:rsid w:val="00F51B4E"/>
    <w:rsid w:val="00F54BA1"/>
    <w:rsid w:val="00F54E84"/>
    <w:rsid w:val="00F56CAF"/>
    <w:rsid w:val="00F5716E"/>
    <w:rsid w:val="00F634F9"/>
    <w:rsid w:val="00F63BE1"/>
    <w:rsid w:val="00F669FB"/>
    <w:rsid w:val="00F70A2F"/>
    <w:rsid w:val="00F70F10"/>
    <w:rsid w:val="00F749AA"/>
    <w:rsid w:val="00F7596A"/>
    <w:rsid w:val="00F76D6A"/>
    <w:rsid w:val="00F776DB"/>
    <w:rsid w:val="00F806AC"/>
    <w:rsid w:val="00F812EF"/>
    <w:rsid w:val="00F81C64"/>
    <w:rsid w:val="00F81FFB"/>
    <w:rsid w:val="00F823FC"/>
    <w:rsid w:val="00F8337E"/>
    <w:rsid w:val="00F83458"/>
    <w:rsid w:val="00F83EA9"/>
    <w:rsid w:val="00F84C26"/>
    <w:rsid w:val="00F86EC0"/>
    <w:rsid w:val="00F870E5"/>
    <w:rsid w:val="00F87232"/>
    <w:rsid w:val="00F8788A"/>
    <w:rsid w:val="00F918E4"/>
    <w:rsid w:val="00F939E9"/>
    <w:rsid w:val="00F95AE9"/>
    <w:rsid w:val="00F9630B"/>
    <w:rsid w:val="00F9649D"/>
    <w:rsid w:val="00F96860"/>
    <w:rsid w:val="00F9762D"/>
    <w:rsid w:val="00FA26E9"/>
    <w:rsid w:val="00FA2733"/>
    <w:rsid w:val="00FA4668"/>
    <w:rsid w:val="00FA50B5"/>
    <w:rsid w:val="00FA68CB"/>
    <w:rsid w:val="00FB0134"/>
    <w:rsid w:val="00FB0C32"/>
    <w:rsid w:val="00FB145F"/>
    <w:rsid w:val="00FB21C3"/>
    <w:rsid w:val="00FB2D22"/>
    <w:rsid w:val="00FB41F1"/>
    <w:rsid w:val="00FB4CEB"/>
    <w:rsid w:val="00FB767F"/>
    <w:rsid w:val="00FC03AD"/>
    <w:rsid w:val="00FC06B3"/>
    <w:rsid w:val="00FC0E48"/>
    <w:rsid w:val="00FC0E7C"/>
    <w:rsid w:val="00FC0FFF"/>
    <w:rsid w:val="00FC112B"/>
    <w:rsid w:val="00FC1A0A"/>
    <w:rsid w:val="00FC1E25"/>
    <w:rsid w:val="00FC2598"/>
    <w:rsid w:val="00FC4D81"/>
    <w:rsid w:val="00FC5EAD"/>
    <w:rsid w:val="00FD1793"/>
    <w:rsid w:val="00FD292B"/>
    <w:rsid w:val="00FD3269"/>
    <w:rsid w:val="00FD39EB"/>
    <w:rsid w:val="00FD5073"/>
    <w:rsid w:val="00FD69BC"/>
    <w:rsid w:val="00FD6DBC"/>
    <w:rsid w:val="00FE2C0F"/>
    <w:rsid w:val="00FE2D98"/>
    <w:rsid w:val="00FE2EAF"/>
    <w:rsid w:val="00FE334B"/>
    <w:rsid w:val="00FE3AA6"/>
    <w:rsid w:val="00FE41A0"/>
    <w:rsid w:val="00FE4389"/>
    <w:rsid w:val="00FE5FBD"/>
    <w:rsid w:val="00FE6B1D"/>
    <w:rsid w:val="00FE6D6B"/>
    <w:rsid w:val="00FE7B13"/>
    <w:rsid w:val="00FF0949"/>
    <w:rsid w:val="00FF2B68"/>
    <w:rsid w:val="00FF3E6E"/>
    <w:rsid w:val="00FF4C58"/>
    <w:rsid w:val="00FF7B9C"/>
    <w:rsid w:val="02D31DDD"/>
    <w:rsid w:val="02F14BBD"/>
    <w:rsid w:val="042A2FC1"/>
    <w:rsid w:val="048635C4"/>
    <w:rsid w:val="04A3117E"/>
    <w:rsid w:val="056D1564"/>
    <w:rsid w:val="05BE7547"/>
    <w:rsid w:val="05E513B7"/>
    <w:rsid w:val="069E375E"/>
    <w:rsid w:val="06CC1EAC"/>
    <w:rsid w:val="077C14E2"/>
    <w:rsid w:val="08110DE2"/>
    <w:rsid w:val="08A04A8D"/>
    <w:rsid w:val="09564DD8"/>
    <w:rsid w:val="0B7254B6"/>
    <w:rsid w:val="0B7B44C5"/>
    <w:rsid w:val="0B8D16D0"/>
    <w:rsid w:val="0C9B026E"/>
    <w:rsid w:val="0C9B48E7"/>
    <w:rsid w:val="0D0077EB"/>
    <w:rsid w:val="0D1C456A"/>
    <w:rsid w:val="0D33005E"/>
    <w:rsid w:val="0E2F01F8"/>
    <w:rsid w:val="0F2B4D12"/>
    <w:rsid w:val="0FF80FA6"/>
    <w:rsid w:val="10B57CCA"/>
    <w:rsid w:val="11044253"/>
    <w:rsid w:val="11114013"/>
    <w:rsid w:val="114B6487"/>
    <w:rsid w:val="117D6890"/>
    <w:rsid w:val="122C5655"/>
    <w:rsid w:val="123C770A"/>
    <w:rsid w:val="12A43E54"/>
    <w:rsid w:val="12BF7E16"/>
    <w:rsid w:val="12CE333C"/>
    <w:rsid w:val="12F5572B"/>
    <w:rsid w:val="134D4F48"/>
    <w:rsid w:val="14BB6147"/>
    <w:rsid w:val="153722F1"/>
    <w:rsid w:val="15C11C07"/>
    <w:rsid w:val="15D51779"/>
    <w:rsid w:val="176A61D8"/>
    <w:rsid w:val="182412CC"/>
    <w:rsid w:val="183A395E"/>
    <w:rsid w:val="18775C69"/>
    <w:rsid w:val="19B37B55"/>
    <w:rsid w:val="19C00363"/>
    <w:rsid w:val="1A077167"/>
    <w:rsid w:val="1A0F59CD"/>
    <w:rsid w:val="1A5C55AB"/>
    <w:rsid w:val="1A5E2F85"/>
    <w:rsid w:val="1B417839"/>
    <w:rsid w:val="1B714AC7"/>
    <w:rsid w:val="1BFB2953"/>
    <w:rsid w:val="1C291FBB"/>
    <w:rsid w:val="1C637B16"/>
    <w:rsid w:val="1D037DC4"/>
    <w:rsid w:val="1D2A1A0C"/>
    <w:rsid w:val="1D50454B"/>
    <w:rsid w:val="1E1E3845"/>
    <w:rsid w:val="21371334"/>
    <w:rsid w:val="21B929CA"/>
    <w:rsid w:val="21BF4FE0"/>
    <w:rsid w:val="22393A74"/>
    <w:rsid w:val="22EE40C8"/>
    <w:rsid w:val="238A0D96"/>
    <w:rsid w:val="243F55D5"/>
    <w:rsid w:val="24685BC8"/>
    <w:rsid w:val="25921A27"/>
    <w:rsid w:val="25D04265"/>
    <w:rsid w:val="26975C11"/>
    <w:rsid w:val="26AA69CB"/>
    <w:rsid w:val="26B518CD"/>
    <w:rsid w:val="2717519D"/>
    <w:rsid w:val="27556ACD"/>
    <w:rsid w:val="2909018D"/>
    <w:rsid w:val="296E2A45"/>
    <w:rsid w:val="29771A77"/>
    <w:rsid w:val="29A213C4"/>
    <w:rsid w:val="2A03278D"/>
    <w:rsid w:val="2A55745C"/>
    <w:rsid w:val="2B6047BB"/>
    <w:rsid w:val="2C165589"/>
    <w:rsid w:val="2CEB0D46"/>
    <w:rsid w:val="2D92107F"/>
    <w:rsid w:val="2E523DE8"/>
    <w:rsid w:val="2E7C2FD0"/>
    <w:rsid w:val="2E8425A6"/>
    <w:rsid w:val="2F4B1738"/>
    <w:rsid w:val="2FBE354B"/>
    <w:rsid w:val="2FE1438D"/>
    <w:rsid w:val="302163AF"/>
    <w:rsid w:val="30432BA0"/>
    <w:rsid w:val="305F4A3C"/>
    <w:rsid w:val="309529F5"/>
    <w:rsid w:val="31342F25"/>
    <w:rsid w:val="31835699"/>
    <w:rsid w:val="319A2C63"/>
    <w:rsid w:val="32231ED4"/>
    <w:rsid w:val="322B0790"/>
    <w:rsid w:val="332A318A"/>
    <w:rsid w:val="33496132"/>
    <w:rsid w:val="34004E38"/>
    <w:rsid w:val="340B2311"/>
    <w:rsid w:val="34A14C71"/>
    <w:rsid w:val="34D80194"/>
    <w:rsid w:val="37184804"/>
    <w:rsid w:val="398C57E8"/>
    <w:rsid w:val="39A82AC6"/>
    <w:rsid w:val="39BE5CE0"/>
    <w:rsid w:val="39C47A2C"/>
    <w:rsid w:val="3A115E5A"/>
    <w:rsid w:val="3A226316"/>
    <w:rsid w:val="3AEC5D5F"/>
    <w:rsid w:val="3B2267E7"/>
    <w:rsid w:val="3BC8359D"/>
    <w:rsid w:val="3BFE4F71"/>
    <w:rsid w:val="3D826287"/>
    <w:rsid w:val="3DE524BA"/>
    <w:rsid w:val="3E5B48A9"/>
    <w:rsid w:val="3F357160"/>
    <w:rsid w:val="3F90296F"/>
    <w:rsid w:val="3FC50ACB"/>
    <w:rsid w:val="412C0EEF"/>
    <w:rsid w:val="418F23FF"/>
    <w:rsid w:val="42055A64"/>
    <w:rsid w:val="4206773F"/>
    <w:rsid w:val="422B2F72"/>
    <w:rsid w:val="424B36AA"/>
    <w:rsid w:val="42571DFA"/>
    <w:rsid w:val="42590B71"/>
    <w:rsid w:val="432D1110"/>
    <w:rsid w:val="44A20C6E"/>
    <w:rsid w:val="44E1255D"/>
    <w:rsid w:val="450609BC"/>
    <w:rsid w:val="45A63265"/>
    <w:rsid w:val="45C62BD4"/>
    <w:rsid w:val="45FA08E5"/>
    <w:rsid w:val="47343863"/>
    <w:rsid w:val="489227FA"/>
    <w:rsid w:val="4A014137"/>
    <w:rsid w:val="4A600239"/>
    <w:rsid w:val="4A640353"/>
    <w:rsid w:val="4A642F62"/>
    <w:rsid w:val="4A6F69D9"/>
    <w:rsid w:val="4A736365"/>
    <w:rsid w:val="4BD50FC6"/>
    <w:rsid w:val="4D230FA1"/>
    <w:rsid w:val="4D7023A6"/>
    <w:rsid w:val="4DCA2B79"/>
    <w:rsid w:val="4DED3596"/>
    <w:rsid w:val="4DF74D1B"/>
    <w:rsid w:val="4F202464"/>
    <w:rsid w:val="4F770E18"/>
    <w:rsid w:val="4F8C46F2"/>
    <w:rsid w:val="4FF9258F"/>
    <w:rsid w:val="500C636C"/>
    <w:rsid w:val="502161C3"/>
    <w:rsid w:val="518C1FD6"/>
    <w:rsid w:val="51A05B81"/>
    <w:rsid w:val="51A92185"/>
    <w:rsid w:val="51E27CB3"/>
    <w:rsid w:val="52080913"/>
    <w:rsid w:val="55395574"/>
    <w:rsid w:val="56834ED3"/>
    <w:rsid w:val="5687613D"/>
    <w:rsid w:val="577A68E7"/>
    <w:rsid w:val="58323CD6"/>
    <w:rsid w:val="58520FCF"/>
    <w:rsid w:val="58E9629B"/>
    <w:rsid w:val="59480C17"/>
    <w:rsid w:val="59A30615"/>
    <w:rsid w:val="59C34584"/>
    <w:rsid w:val="5A0A0128"/>
    <w:rsid w:val="5A8A5534"/>
    <w:rsid w:val="5AD32C1B"/>
    <w:rsid w:val="5AD35682"/>
    <w:rsid w:val="5AE91D8F"/>
    <w:rsid w:val="5B252D5C"/>
    <w:rsid w:val="5B4940F8"/>
    <w:rsid w:val="5B4E49E7"/>
    <w:rsid w:val="5BA81136"/>
    <w:rsid w:val="5BDF675C"/>
    <w:rsid w:val="5C5877E6"/>
    <w:rsid w:val="5D133B00"/>
    <w:rsid w:val="5D8623B3"/>
    <w:rsid w:val="5DA056C2"/>
    <w:rsid w:val="5DC7093E"/>
    <w:rsid w:val="5DE301B2"/>
    <w:rsid w:val="5EF91CAE"/>
    <w:rsid w:val="5F185DED"/>
    <w:rsid w:val="60BF03CA"/>
    <w:rsid w:val="61277245"/>
    <w:rsid w:val="61430C73"/>
    <w:rsid w:val="61492927"/>
    <w:rsid w:val="63243F60"/>
    <w:rsid w:val="633421CB"/>
    <w:rsid w:val="63811FF4"/>
    <w:rsid w:val="63AE4FBD"/>
    <w:rsid w:val="65C07427"/>
    <w:rsid w:val="65F422FD"/>
    <w:rsid w:val="66664CDC"/>
    <w:rsid w:val="66942FF2"/>
    <w:rsid w:val="67627252"/>
    <w:rsid w:val="678811DD"/>
    <w:rsid w:val="689C79C7"/>
    <w:rsid w:val="6921773E"/>
    <w:rsid w:val="69793F3A"/>
    <w:rsid w:val="6A845731"/>
    <w:rsid w:val="6B656486"/>
    <w:rsid w:val="6C3E258B"/>
    <w:rsid w:val="6C995CF8"/>
    <w:rsid w:val="6D090170"/>
    <w:rsid w:val="6DD661FA"/>
    <w:rsid w:val="6EAA3942"/>
    <w:rsid w:val="6F0A50ED"/>
    <w:rsid w:val="6F613839"/>
    <w:rsid w:val="70825730"/>
    <w:rsid w:val="709561C1"/>
    <w:rsid w:val="70A4466D"/>
    <w:rsid w:val="71960B05"/>
    <w:rsid w:val="724029CC"/>
    <w:rsid w:val="72847393"/>
    <w:rsid w:val="728813C0"/>
    <w:rsid w:val="72F163C1"/>
    <w:rsid w:val="73094317"/>
    <w:rsid w:val="73683E42"/>
    <w:rsid w:val="74124EF1"/>
    <w:rsid w:val="742C0CD1"/>
    <w:rsid w:val="74F80732"/>
    <w:rsid w:val="756B163C"/>
    <w:rsid w:val="75A60D0A"/>
    <w:rsid w:val="76174494"/>
    <w:rsid w:val="768A06F5"/>
    <w:rsid w:val="77B90ADF"/>
    <w:rsid w:val="786A1D6C"/>
    <w:rsid w:val="797A4B3E"/>
    <w:rsid w:val="798E74CD"/>
    <w:rsid w:val="7A400AC3"/>
    <w:rsid w:val="7CB87F97"/>
    <w:rsid w:val="7CD47848"/>
    <w:rsid w:val="7D054697"/>
    <w:rsid w:val="7DD02188"/>
    <w:rsid w:val="7DF52776"/>
    <w:rsid w:val="7DFC1ABF"/>
    <w:rsid w:val="7F497B30"/>
    <w:rsid w:val="7F4E64B5"/>
    <w:rsid w:val="7F9924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uiPriority w:val="9"/>
    <w:pPr>
      <w:keepNext/>
      <w:keepLines/>
      <w:spacing w:before="240" w:after="120" w:line="360" w:lineRule="auto"/>
      <w:outlineLvl w:val="0"/>
    </w:pPr>
    <w:rPr>
      <w:b/>
      <w:bCs/>
      <w:kern w:val="44"/>
      <w:sz w:val="32"/>
      <w:szCs w:val="44"/>
    </w:rPr>
  </w:style>
  <w:style w:type="paragraph" w:styleId="3">
    <w:name w:val="heading 2"/>
    <w:basedOn w:val="1"/>
    <w:next w:val="1"/>
    <w:link w:val="51"/>
    <w:qFormat/>
    <w:uiPriority w:val="9"/>
    <w:pPr>
      <w:keepNext/>
      <w:keepLines/>
      <w:numPr>
        <w:ilvl w:val="1"/>
        <w:numId w:val="1"/>
      </w:numPr>
      <w:tabs>
        <w:tab w:val="left" w:pos="425"/>
      </w:tabs>
      <w:spacing w:before="120" w:after="120" w:line="360" w:lineRule="auto"/>
      <w:outlineLvl w:val="1"/>
    </w:pPr>
    <w:rPr>
      <w:rFonts w:ascii="Arial" w:hAnsi="Arial"/>
      <w:b/>
      <w:bCs/>
      <w:sz w:val="28"/>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djustRightInd w:val="0"/>
      <w:spacing w:line="312" w:lineRule="atLeast"/>
      <w:ind w:firstLine="420"/>
      <w:textAlignment w:val="baseline"/>
    </w:pPr>
    <w:rPr>
      <w:kern w:val="0"/>
      <w:sz w:val="24"/>
      <w:szCs w:val="20"/>
      <w:lang w:bidi="he-IL"/>
    </w:rPr>
  </w:style>
  <w:style w:type="paragraph" w:styleId="7">
    <w:name w:val="Document Map"/>
    <w:basedOn w:val="1"/>
    <w:link w:val="26"/>
    <w:unhideWhenUsed/>
    <w:qFormat/>
    <w:uiPriority w:val="99"/>
    <w:rPr>
      <w:rFonts w:ascii="宋体"/>
      <w:sz w:val="18"/>
      <w:szCs w:val="18"/>
    </w:rPr>
  </w:style>
  <w:style w:type="paragraph" w:styleId="8">
    <w:name w:val="annotation text"/>
    <w:basedOn w:val="1"/>
    <w:link w:val="45"/>
    <w:semiHidden/>
    <w:qFormat/>
    <w:uiPriority w:val="99"/>
    <w:pPr>
      <w:jc w:val="left"/>
    </w:pPr>
  </w:style>
  <w:style w:type="paragraph" w:styleId="9">
    <w:name w:val="Body Text"/>
    <w:basedOn w:val="1"/>
    <w:link w:val="64"/>
    <w:semiHidden/>
    <w:unhideWhenUsed/>
    <w:qFormat/>
    <w:uiPriority w:val="99"/>
    <w:pPr>
      <w:spacing w:after="120"/>
    </w:pPr>
  </w:style>
  <w:style w:type="paragraph" w:styleId="10">
    <w:name w:val="Date"/>
    <w:basedOn w:val="1"/>
    <w:next w:val="1"/>
    <w:semiHidden/>
    <w:qFormat/>
    <w:uiPriority w:val="0"/>
    <w:pPr>
      <w:ind w:left="100" w:leftChars="2500"/>
    </w:pPr>
  </w:style>
  <w:style w:type="paragraph" w:styleId="11">
    <w:name w:val="Balloon Text"/>
    <w:basedOn w:val="1"/>
    <w:link w:val="47"/>
    <w:semiHidden/>
    <w:qFormat/>
    <w:uiPriority w:val="99"/>
    <w:rPr>
      <w:sz w:val="18"/>
      <w:szCs w:val="18"/>
    </w:rPr>
  </w:style>
  <w:style w:type="paragraph" w:styleId="12">
    <w:name w:val="footer"/>
    <w:basedOn w:val="1"/>
    <w:link w:val="44"/>
    <w:qFormat/>
    <w:uiPriority w:val="0"/>
    <w:pPr>
      <w:tabs>
        <w:tab w:val="center" w:pos="4153"/>
        <w:tab w:val="right" w:pos="8306"/>
      </w:tabs>
      <w:snapToGrid w:val="0"/>
      <w:jc w:val="left"/>
    </w:pPr>
    <w:rPr>
      <w:sz w:val="18"/>
      <w:szCs w:val="18"/>
    </w:rPr>
  </w:style>
  <w:style w:type="paragraph" w:styleId="13">
    <w:name w:val="header"/>
    <w:basedOn w:val="1"/>
    <w:link w:val="43"/>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7">
    <w:name w:val="annotation subject"/>
    <w:basedOn w:val="8"/>
    <w:next w:val="8"/>
    <w:link w:val="46"/>
    <w:semiHidden/>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page number"/>
    <w:basedOn w:val="20"/>
    <w:semiHidden/>
    <w:qFormat/>
    <w:uiPriority w:val="0"/>
  </w:style>
  <w:style w:type="character" w:styleId="23">
    <w:name w:val="Hyperlink"/>
    <w:qFormat/>
    <w:uiPriority w:val="99"/>
    <w:rPr>
      <w:color w:val="0000FF"/>
      <w:u w:val="single"/>
    </w:rPr>
  </w:style>
  <w:style w:type="character" w:styleId="24">
    <w:name w:val="annotation reference"/>
    <w:semiHidden/>
    <w:qFormat/>
    <w:uiPriority w:val="99"/>
    <w:rPr>
      <w:sz w:val="21"/>
      <w:szCs w:val="21"/>
    </w:rPr>
  </w:style>
  <w:style w:type="character" w:customStyle="1" w:styleId="25">
    <w:name w:val="Char Char"/>
    <w:qFormat/>
    <w:uiPriority w:val="0"/>
    <w:rPr>
      <w:rFonts w:eastAsia="宋体"/>
      <w:kern w:val="2"/>
      <w:sz w:val="18"/>
      <w:szCs w:val="18"/>
      <w:lang w:val="en-US" w:eastAsia="zh-CN" w:bidi="ar-SA"/>
    </w:rPr>
  </w:style>
  <w:style w:type="character" w:customStyle="1" w:styleId="26">
    <w:name w:val="文档结构图 Char"/>
    <w:link w:val="7"/>
    <w:semiHidden/>
    <w:qFormat/>
    <w:uiPriority w:val="99"/>
    <w:rPr>
      <w:rFonts w:ascii="宋体"/>
      <w:kern w:val="2"/>
      <w:sz w:val="18"/>
      <w:szCs w:val="18"/>
    </w:rPr>
  </w:style>
  <w:style w:type="character" w:customStyle="1" w:styleId="27">
    <w:name w:val="text"/>
    <w:basedOn w:val="20"/>
    <w:qFormat/>
    <w:uiPriority w:val="0"/>
  </w:style>
  <w:style w:type="character" w:customStyle="1" w:styleId="28">
    <w:name w:val="Char Char1"/>
    <w:qFormat/>
    <w:uiPriority w:val="0"/>
    <w:rPr>
      <w:rFonts w:ascii="Arial" w:hAnsi="Arial" w:eastAsia="黑体"/>
      <w:b/>
      <w:bCs/>
      <w:kern w:val="2"/>
      <w:sz w:val="28"/>
      <w:szCs w:val="28"/>
      <w:lang w:val="en-US" w:eastAsia="zh-CN" w:bidi="ar-SA"/>
    </w:rPr>
  </w:style>
  <w:style w:type="paragraph" w:customStyle="1" w:styleId="29">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0">
    <w:name w:val="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1">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32">
    <w:name w:val="Char Char Char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3">
    <w:name w:val="默认段落字体 Para Char Char Char Char Char Char Char Char Char Char"/>
    <w:basedOn w:val="1"/>
    <w:qFormat/>
    <w:uiPriority w:val="0"/>
    <w:rPr>
      <w:rFonts w:ascii="Tahoma" w:hAnsi="Tahoma"/>
      <w:sz w:val="24"/>
      <w:szCs w:val="20"/>
    </w:rPr>
  </w:style>
  <w:style w:type="paragraph" w:customStyle="1" w:styleId="34">
    <w:name w:val="段"/>
    <w:qFormat/>
    <w:uiPriority w:val="0"/>
    <w:pPr>
      <w:widowControl w:val="0"/>
      <w:suppressAutoHyphens/>
      <w:autoSpaceDE w:val="0"/>
      <w:ind w:firstLine="200"/>
      <w:jc w:val="both"/>
    </w:pPr>
    <w:rPr>
      <w:rFonts w:ascii="宋体" w:hAnsi="宋体" w:eastAsia="宋体" w:cs="Times New Roman"/>
      <w:sz w:val="21"/>
      <w:lang w:val="en-US" w:eastAsia="ar-SA" w:bidi="ar-SA"/>
    </w:rPr>
  </w:style>
  <w:style w:type="paragraph" w:styleId="35">
    <w:name w:val="List Paragraph"/>
    <w:basedOn w:val="1"/>
    <w:qFormat/>
    <w:uiPriority w:val="34"/>
    <w:pPr>
      <w:ind w:firstLine="420" w:firstLineChars="200"/>
    </w:pPr>
  </w:style>
  <w:style w:type="character" w:customStyle="1" w:styleId="36">
    <w:name w:val="font11"/>
    <w:basedOn w:val="20"/>
    <w:qFormat/>
    <w:uiPriority w:val="0"/>
    <w:rPr>
      <w:rFonts w:hint="eastAsia" w:ascii="宋体" w:hAnsi="宋体" w:eastAsia="宋体" w:cs="宋体"/>
      <w:color w:val="000000"/>
      <w:sz w:val="22"/>
      <w:szCs w:val="22"/>
      <w:u w:val="none"/>
    </w:rPr>
  </w:style>
  <w:style w:type="character" w:customStyle="1" w:styleId="37">
    <w:name w:val="font01"/>
    <w:basedOn w:val="20"/>
    <w:qFormat/>
    <w:uiPriority w:val="0"/>
    <w:rPr>
      <w:rFonts w:hint="eastAsia" w:ascii="宋体" w:hAnsi="宋体" w:eastAsia="宋体" w:cs="宋体"/>
      <w:b/>
      <w:color w:val="000000"/>
      <w:sz w:val="22"/>
      <w:szCs w:val="22"/>
      <w:u w:val="none"/>
    </w:rPr>
  </w:style>
  <w:style w:type="paragraph" w:customStyle="1" w:styleId="38">
    <w:name w:val="WPSOffice手动目录 1"/>
    <w:qFormat/>
    <w:uiPriority w:val="0"/>
    <w:rPr>
      <w:rFonts w:ascii="Times New Roman" w:hAnsi="Times New Roman" w:eastAsia="宋体" w:cs="Times New Roman"/>
      <w:lang w:val="en-US" w:eastAsia="zh-CN" w:bidi="ar-SA"/>
    </w:rPr>
  </w:style>
  <w:style w:type="paragraph" w:customStyle="1" w:styleId="3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0">
    <w:name w:val="列表段落2"/>
    <w:basedOn w:val="1"/>
    <w:qFormat/>
    <w:uiPriority w:val="34"/>
    <w:pPr>
      <w:ind w:firstLine="420" w:firstLineChars="200"/>
    </w:pPr>
  </w:style>
  <w:style w:type="character" w:customStyle="1" w:styleId="41">
    <w:name w:val="标题 1 Char"/>
    <w:basedOn w:val="20"/>
    <w:link w:val="2"/>
    <w:qFormat/>
    <w:uiPriority w:val="9"/>
    <w:rPr>
      <w:b/>
      <w:bCs/>
      <w:kern w:val="44"/>
      <w:sz w:val="32"/>
      <w:szCs w:val="44"/>
    </w:rPr>
  </w:style>
  <w:style w:type="paragraph" w:customStyle="1" w:styleId="42">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43">
    <w:name w:val="页眉 Char"/>
    <w:basedOn w:val="20"/>
    <w:link w:val="13"/>
    <w:qFormat/>
    <w:uiPriority w:val="99"/>
    <w:rPr>
      <w:kern w:val="2"/>
      <w:sz w:val="18"/>
      <w:szCs w:val="18"/>
    </w:rPr>
  </w:style>
  <w:style w:type="character" w:customStyle="1" w:styleId="44">
    <w:name w:val="页脚 Char"/>
    <w:basedOn w:val="20"/>
    <w:link w:val="12"/>
    <w:qFormat/>
    <w:uiPriority w:val="99"/>
    <w:rPr>
      <w:kern w:val="2"/>
      <w:sz w:val="18"/>
      <w:szCs w:val="18"/>
    </w:rPr>
  </w:style>
  <w:style w:type="character" w:customStyle="1" w:styleId="45">
    <w:name w:val="批注文字 Char"/>
    <w:basedOn w:val="20"/>
    <w:link w:val="8"/>
    <w:semiHidden/>
    <w:qFormat/>
    <w:uiPriority w:val="99"/>
    <w:rPr>
      <w:kern w:val="2"/>
      <w:sz w:val="21"/>
      <w:szCs w:val="24"/>
    </w:rPr>
  </w:style>
  <w:style w:type="character" w:customStyle="1" w:styleId="46">
    <w:name w:val="批注主题 Char"/>
    <w:basedOn w:val="45"/>
    <w:link w:val="17"/>
    <w:semiHidden/>
    <w:qFormat/>
    <w:uiPriority w:val="99"/>
    <w:rPr>
      <w:b/>
      <w:bCs/>
      <w:kern w:val="2"/>
      <w:sz w:val="21"/>
      <w:szCs w:val="24"/>
    </w:rPr>
  </w:style>
  <w:style w:type="character" w:customStyle="1" w:styleId="47">
    <w:name w:val="批注框文本 Char"/>
    <w:basedOn w:val="20"/>
    <w:link w:val="11"/>
    <w:semiHidden/>
    <w:qFormat/>
    <w:uiPriority w:val="99"/>
    <w:rPr>
      <w:kern w:val="2"/>
      <w:sz w:val="18"/>
      <w:szCs w:val="18"/>
    </w:rPr>
  </w:style>
  <w:style w:type="paragraph" w:customStyle="1" w:styleId="48">
    <w:name w:val="数字编号列项（二级）"/>
    <w:qFormat/>
    <w:uiPriority w:val="0"/>
    <w:pPr>
      <w:numPr>
        <w:ilvl w:val="1"/>
        <w:numId w:val="2"/>
      </w:numPr>
      <w:jc w:val="both"/>
    </w:pPr>
    <w:rPr>
      <w:rFonts w:ascii="宋体" w:hAnsi="Times New Roman" w:eastAsia="宋体" w:cs="Times New Roman"/>
      <w:sz w:val="21"/>
      <w:lang w:val="en-US" w:eastAsia="zh-CN" w:bidi="ar-SA"/>
    </w:rPr>
  </w:style>
  <w:style w:type="paragraph" w:customStyle="1" w:styleId="49">
    <w:name w:val="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50">
    <w:name w:val="编号列项（三级）"/>
    <w:qFormat/>
    <w:uiPriority w:val="0"/>
    <w:pPr>
      <w:numPr>
        <w:ilvl w:val="2"/>
        <w:numId w:val="2"/>
      </w:numPr>
    </w:pPr>
    <w:rPr>
      <w:rFonts w:ascii="宋体" w:hAnsi="Times New Roman" w:eastAsia="宋体" w:cs="Times New Roman"/>
      <w:sz w:val="21"/>
      <w:lang w:val="en-US" w:eastAsia="zh-CN" w:bidi="ar-SA"/>
    </w:rPr>
  </w:style>
  <w:style w:type="character" w:customStyle="1" w:styleId="51">
    <w:name w:val="标题 2 Char"/>
    <w:basedOn w:val="20"/>
    <w:link w:val="3"/>
    <w:qFormat/>
    <w:uiPriority w:val="9"/>
    <w:rPr>
      <w:rFonts w:ascii="Arial" w:hAnsi="Arial"/>
      <w:b/>
      <w:bCs/>
      <w:kern w:val="2"/>
      <w:sz w:val="28"/>
      <w:szCs w:val="32"/>
    </w:rPr>
  </w:style>
  <w:style w:type="paragraph" w:customStyle="1" w:styleId="52">
    <w:name w:val="标准文件_数字编号列项（二级）"/>
    <w:qFormat/>
    <w:uiPriority w:val="0"/>
    <w:pPr>
      <w:tabs>
        <w:tab w:val="left" w:pos="1276"/>
      </w:tabs>
      <w:ind w:left="1276" w:hanging="425"/>
      <w:jc w:val="both"/>
    </w:pPr>
    <w:rPr>
      <w:rFonts w:ascii="宋体" w:hAnsi="Times New Roman" w:eastAsia="宋体" w:cs="Times New Roman"/>
      <w:sz w:val="21"/>
      <w:lang w:val="en-US" w:eastAsia="zh-CN" w:bidi="ar-SA"/>
    </w:rPr>
  </w:style>
  <w:style w:type="paragraph" w:customStyle="1" w:styleId="53">
    <w:name w:val="标准文件_字母编号列项（一级）"/>
    <w:qFormat/>
    <w:uiPriority w:val="0"/>
    <w:pPr>
      <w:tabs>
        <w:tab w:val="left" w:pos="851"/>
      </w:tabs>
      <w:ind w:left="851" w:hanging="426"/>
      <w:jc w:val="both"/>
    </w:pPr>
    <w:rPr>
      <w:rFonts w:ascii="宋体" w:hAnsi="Times New Roman" w:eastAsia="宋体" w:cs="Times New Roman"/>
      <w:sz w:val="21"/>
      <w:lang w:val="en-US" w:eastAsia="zh-CN" w:bidi="ar-SA"/>
    </w:rPr>
  </w:style>
  <w:style w:type="paragraph" w:customStyle="1" w:styleId="54">
    <w:name w:val="标准文件_术语条一"/>
    <w:basedOn w:val="1"/>
    <w:next w:val="1"/>
    <w:qFormat/>
    <w:uiPriority w:val="0"/>
    <w:pPr>
      <w:widowControl/>
      <w:tabs>
        <w:tab w:val="left" w:pos="851"/>
      </w:tabs>
      <w:ind w:left="1701" w:hanging="425"/>
    </w:pPr>
    <w:rPr>
      <w:rFonts w:ascii="宋体"/>
      <w:kern w:val="0"/>
      <w:szCs w:val="20"/>
    </w:rPr>
  </w:style>
  <w:style w:type="paragraph" w:customStyle="1" w:styleId="55">
    <w:name w:val="标准文件_二级条标题"/>
    <w:next w:val="1"/>
    <w:qFormat/>
    <w:uiPriority w:val="0"/>
    <w:pPr>
      <w:widowControl w:val="0"/>
      <w:numPr>
        <w:ilvl w:val="3"/>
        <w:numId w:val="3"/>
      </w:numPr>
      <w:spacing w:beforeLines="50" w:afterLines="50"/>
      <w:jc w:val="both"/>
      <w:outlineLvl w:val="2"/>
    </w:pPr>
    <w:rPr>
      <w:rFonts w:ascii="黑体" w:hAnsi="Times New Roman" w:eastAsia="黑体" w:cs="Times New Roman"/>
      <w:sz w:val="21"/>
      <w:lang w:val="en-US" w:eastAsia="zh-CN" w:bidi="ar-SA"/>
    </w:rPr>
  </w:style>
  <w:style w:type="paragraph" w:customStyle="1" w:styleId="56">
    <w:name w:val="标准文件_三级条标题"/>
    <w:basedOn w:val="55"/>
    <w:next w:val="1"/>
    <w:qFormat/>
    <w:uiPriority w:val="0"/>
    <w:pPr>
      <w:widowControl/>
      <w:numPr>
        <w:ilvl w:val="4"/>
      </w:numPr>
      <w:outlineLvl w:val="3"/>
    </w:pPr>
  </w:style>
  <w:style w:type="paragraph" w:customStyle="1" w:styleId="57">
    <w:name w:val="标准文件_四级条标题"/>
    <w:next w:val="1"/>
    <w:qFormat/>
    <w:uiPriority w:val="0"/>
    <w:pPr>
      <w:widowControl w:val="0"/>
      <w:numPr>
        <w:ilvl w:val="5"/>
        <w:numId w:val="3"/>
      </w:numPr>
      <w:spacing w:beforeLines="50" w:afterLines="50"/>
      <w:jc w:val="both"/>
      <w:outlineLvl w:val="4"/>
    </w:pPr>
    <w:rPr>
      <w:rFonts w:ascii="黑体" w:hAnsi="Times New Roman" w:eastAsia="黑体" w:cs="Times New Roman"/>
      <w:sz w:val="21"/>
      <w:lang w:val="en-US" w:eastAsia="zh-CN" w:bidi="ar-SA"/>
    </w:rPr>
  </w:style>
  <w:style w:type="paragraph" w:customStyle="1" w:styleId="58">
    <w:name w:val="标准文件_五级条标题"/>
    <w:next w:val="1"/>
    <w:qFormat/>
    <w:uiPriority w:val="0"/>
    <w:pPr>
      <w:widowControl w:val="0"/>
      <w:numPr>
        <w:ilvl w:val="6"/>
        <w:numId w:val="3"/>
      </w:numPr>
      <w:spacing w:beforeLines="50" w:afterLines="50"/>
      <w:jc w:val="both"/>
      <w:outlineLvl w:val="5"/>
    </w:pPr>
    <w:rPr>
      <w:rFonts w:ascii="黑体" w:hAnsi="Times New Roman" w:eastAsia="黑体" w:cs="Times New Roman"/>
      <w:sz w:val="21"/>
      <w:lang w:val="en-US" w:eastAsia="zh-CN" w:bidi="ar-SA"/>
    </w:rPr>
  </w:style>
  <w:style w:type="paragraph" w:customStyle="1" w:styleId="59">
    <w:name w:val="标准文件_章标题"/>
    <w:next w:val="1"/>
    <w:qFormat/>
    <w:uiPriority w:val="0"/>
    <w:pPr>
      <w:numPr>
        <w:ilvl w:val="1"/>
        <w:numId w:val="3"/>
      </w:numPr>
      <w:spacing w:beforeLines="100" w:afterLines="100"/>
      <w:jc w:val="both"/>
      <w:outlineLvl w:val="0"/>
    </w:pPr>
    <w:rPr>
      <w:rFonts w:ascii="黑体" w:hAnsi="Times New Roman" w:eastAsia="黑体" w:cs="Times New Roman"/>
      <w:sz w:val="21"/>
      <w:lang w:val="en-US" w:eastAsia="zh-CN" w:bidi="ar-SA"/>
    </w:rPr>
  </w:style>
  <w:style w:type="paragraph" w:customStyle="1" w:styleId="60">
    <w:name w:val="标准文件_一级条标题"/>
    <w:basedOn w:val="59"/>
    <w:next w:val="1"/>
    <w:qFormat/>
    <w:uiPriority w:val="0"/>
    <w:pPr>
      <w:numPr>
        <w:ilvl w:val="2"/>
      </w:numPr>
      <w:spacing w:beforeLines="50" w:afterLines="50"/>
      <w:outlineLvl w:val="1"/>
    </w:pPr>
  </w:style>
  <w:style w:type="paragraph" w:customStyle="1" w:styleId="61">
    <w:name w:val="前言标题"/>
    <w:next w:val="1"/>
    <w:qFormat/>
    <w:uiPriority w:val="0"/>
    <w:pPr>
      <w:numPr>
        <w:ilvl w:val="0"/>
        <w:numId w:val="3"/>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62">
    <w:name w:val="标准文件_段"/>
    <w:link w:val="6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3">
    <w:name w:val="标准文件_段 Char"/>
    <w:link w:val="62"/>
    <w:qFormat/>
    <w:uiPriority w:val="0"/>
    <w:rPr>
      <w:rFonts w:ascii="宋体"/>
      <w:sz w:val="21"/>
    </w:rPr>
  </w:style>
  <w:style w:type="character" w:customStyle="1" w:styleId="64">
    <w:name w:val="正文文本 Char"/>
    <w:basedOn w:val="20"/>
    <w:link w:val="9"/>
    <w:semiHidden/>
    <w:qFormat/>
    <w:uiPriority w:val="99"/>
    <w:rPr>
      <w:kern w:val="2"/>
      <w:sz w:val="21"/>
      <w:szCs w:val="24"/>
    </w:rPr>
  </w:style>
  <w:style w:type="paragraph" w:customStyle="1" w:styleId="65">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6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67">
    <w:name w:val="font51"/>
    <w:basedOn w:val="20"/>
    <w:qFormat/>
    <w:uiPriority w:val="0"/>
    <w:rPr>
      <w:rFonts w:hint="default" w:ascii="Times New Roman" w:hAnsi="Times New Roman" w:cs="Times New Roman"/>
      <w:color w:val="000000"/>
      <w:sz w:val="21"/>
      <w:szCs w:val="21"/>
      <w:u w:val="none"/>
    </w:rPr>
  </w:style>
  <w:style w:type="character" w:customStyle="1" w:styleId="68">
    <w:name w:val="font31"/>
    <w:basedOn w:val="20"/>
    <w:qFormat/>
    <w:uiPriority w:val="0"/>
    <w:rPr>
      <w:rFonts w:hint="eastAsia" w:ascii="宋体" w:hAnsi="宋体" w:eastAsia="宋体" w:cs="宋体"/>
      <w:color w:val="000000"/>
      <w:sz w:val="21"/>
      <w:szCs w:val="21"/>
      <w:u w:val="none"/>
    </w:rPr>
  </w:style>
  <w:style w:type="character" w:customStyle="1" w:styleId="69">
    <w:name w:val="font81"/>
    <w:basedOn w:val="20"/>
    <w:qFormat/>
    <w:uiPriority w:val="0"/>
    <w:rPr>
      <w:rFonts w:ascii="仿宋_GB2312" w:eastAsia="仿宋_GB2312" w:cs="仿宋_GB2312"/>
      <w:color w:val="000000"/>
      <w:sz w:val="28"/>
      <w:szCs w:val="28"/>
      <w:u w:val="none"/>
    </w:rPr>
  </w:style>
  <w:style w:type="character" w:customStyle="1" w:styleId="70">
    <w:name w:val="font21"/>
    <w:basedOn w:val="20"/>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E437D-F24D-4BB0-AF98-5FE0104262BB}">
  <ds:schemaRefs/>
</ds:datastoreItem>
</file>

<file path=docProps/app.xml><?xml version="1.0" encoding="utf-8"?>
<Properties xmlns="http://schemas.openxmlformats.org/officeDocument/2006/extended-properties" xmlns:vt="http://schemas.openxmlformats.org/officeDocument/2006/docPropsVTypes">
  <Template>Normal.dotm</Template>
  <Company>ISCCC</Company>
  <Pages>1</Pages>
  <Words>4590</Words>
  <Characters>4775</Characters>
  <Lines>795</Lines>
  <Paragraphs>322</Paragraphs>
  <TotalTime>1</TotalTime>
  <ScaleCrop>false</ScaleCrop>
  <LinksUpToDate>false</LinksUpToDate>
  <CharactersWithSpaces>9043</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2025-04-03T01:41:00Z</dcterms:created>
  <dc:creator>CCRC</dc:creator>
  <cp:lastModifiedBy>刘斌</cp:lastModifiedBy>
  <cp:lastPrinted>2021-06-30T06:44:00Z</cp:lastPrinted>
  <dcterms:modified xsi:type="dcterms:W3CDTF">2026-07-06T07:55:19Z</dcterms:modified>
  <dc:title>工厂检查记录</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77BBF4BDC8694282A9024002431BA64B</vt:lpwstr>
  </property>
</Properties>
</file>