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rPr>
      </w:pPr>
      <w:r>
        <w:rPr>
          <w:rFonts w:hint="eastAsia" w:ascii="宋体" w:hAnsi="宋体"/>
        </w:rPr>
        <w:t xml:space="preserve">                 </w:t>
      </w:r>
    </w:p>
    <w:p>
      <w:pPr>
        <w:rPr>
          <w:rFonts w:ascii="隶书" w:eastAsia="隶书"/>
          <w:b/>
          <w:sz w:val="72"/>
          <w:szCs w:val="72"/>
        </w:rPr>
      </w:pPr>
    </w:p>
    <w:p>
      <w:pPr>
        <w:jc w:val="center"/>
        <w:rPr>
          <w:rFonts w:ascii="楷体_GB2312" w:eastAsia="楷体_GB2312"/>
          <w:b/>
          <w:sz w:val="52"/>
          <w:szCs w:val="52"/>
        </w:rPr>
      </w:pPr>
      <w:r>
        <w:rPr>
          <w:rFonts w:hint="eastAsia" w:ascii="楷体_GB2312" w:eastAsia="楷体_GB2312"/>
          <w:b/>
          <w:sz w:val="52"/>
          <w:szCs w:val="52"/>
        </w:rPr>
        <w:t>电子招标投标系统认证</w:t>
      </w:r>
    </w:p>
    <w:p>
      <w:pPr>
        <w:jc w:val="center"/>
        <w:rPr>
          <w:rFonts w:ascii="楷体_GB2312" w:eastAsia="楷体_GB2312"/>
          <w:b/>
          <w:sz w:val="72"/>
          <w:szCs w:val="72"/>
        </w:rPr>
      </w:pPr>
      <w:r>
        <w:rPr>
          <w:rFonts w:hint="eastAsia" w:ascii="楷体_GB2312" w:eastAsia="楷体_GB2312"/>
          <w:b/>
          <w:sz w:val="72"/>
          <w:szCs w:val="72"/>
        </w:rPr>
        <w:t>申请书</w:t>
      </w:r>
    </w:p>
    <w:p>
      <w:pPr>
        <w:jc w:val="center"/>
        <w:rPr>
          <w:rFonts w:ascii="楷体_GB2312" w:eastAsia="楷体_GB2312"/>
          <w:b/>
          <w:sz w:val="52"/>
          <w:szCs w:val="52"/>
        </w:rPr>
      </w:pPr>
      <w:r>
        <w:rPr>
          <w:rFonts w:hint="eastAsia" w:ascii="楷体_GB2312" w:eastAsia="楷体_GB2312"/>
          <w:b/>
          <w:sz w:val="52"/>
          <w:szCs w:val="52"/>
        </w:rPr>
        <w:t>（</w:t>
      </w:r>
      <w:r>
        <w:rPr>
          <w:rFonts w:ascii="楷体_GB2312" w:eastAsia="楷体_GB2312"/>
          <w:b/>
          <w:sz w:val="52"/>
          <w:szCs w:val="52"/>
        </w:rPr>
        <w:t>交易平台）</w:t>
      </w:r>
    </w:p>
    <w:p>
      <w:pPr>
        <w:jc w:val="center"/>
        <w:rPr>
          <w:rFonts w:ascii="隶书" w:eastAsia="隶书"/>
          <w:sz w:val="28"/>
          <w:szCs w:val="28"/>
        </w:rPr>
      </w:pPr>
      <w:r>
        <w:rPr>
          <w:rFonts w:hint="eastAsia" w:ascii="隶书" w:eastAsia="隶书"/>
          <w:sz w:val="28"/>
          <w:szCs w:val="28"/>
        </w:rPr>
        <w:t xml:space="preserve"> </w:t>
      </w: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tabs>
          <w:tab w:val="left" w:pos="6405"/>
        </w:tabs>
        <w:jc w:val="left"/>
        <w:rPr>
          <w:rFonts w:ascii="隶书" w:eastAsia="隶书"/>
          <w:sz w:val="32"/>
          <w:szCs w:val="32"/>
        </w:rPr>
      </w:pPr>
    </w:p>
    <w:p>
      <w:pPr>
        <w:spacing w:before="156" w:beforeLines="50" w:line="340" w:lineRule="exact"/>
        <w:jc w:val="center"/>
        <w:rPr>
          <w:b/>
          <w:spacing w:val="5"/>
          <w:sz w:val="28"/>
          <w:szCs w:val="28"/>
        </w:rPr>
      </w:pPr>
    </w:p>
    <w:p>
      <w:pPr>
        <w:spacing w:before="156" w:beforeLines="50" w:line="340" w:lineRule="exact"/>
        <w:jc w:val="center"/>
        <w:rPr>
          <w:rFonts w:ascii="楷体_GB2312" w:eastAsia="楷体_GB2312"/>
          <w:b/>
          <w:spacing w:val="5"/>
          <w:sz w:val="28"/>
          <w:szCs w:val="28"/>
        </w:rPr>
      </w:pPr>
    </w:p>
    <w:p>
      <w:pPr>
        <w:spacing w:line="360" w:lineRule="auto"/>
        <w:rPr>
          <w:rFonts w:ascii="楷体_GB2312" w:eastAsia="楷体_GB2312" w:cs="楷体_GB2312"/>
          <w:b/>
          <w:bCs/>
          <w:sz w:val="24"/>
          <w:szCs w:val="24"/>
        </w:rPr>
      </w:pPr>
    </w:p>
    <w:p>
      <w:pPr>
        <w:spacing w:line="480" w:lineRule="auto"/>
        <w:ind w:firstLine="1446" w:firstLineChars="600"/>
        <w:rPr>
          <w:rFonts w:ascii="宋体" w:cs="宋体"/>
          <w:sz w:val="24"/>
          <w:szCs w:val="24"/>
          <w:u w:val="single"/>
        </w:rPr>
      </w:pPr>
      <w:r>
        <w:rPr>
          <w:rFonts w:hint="eastAsia" w:ascii="楷体_GB2312" w:eastAsia="楷体_GB2312" w:cs="楷体_GB2312"/>
          <w:b/>
          <w:bCs/>
          <w:sz w:val="24"/>
          <w:szCs w:val="24"/>
        </w:rPr>
        <w:t>交易平台名称（</w:t>
      </w:r>
      <w:r>
        <w:rPr>
          <w:rFonts w:ascii="楷体_GB2312" w:eastAsia="楷体_GB2312" w:cs="楷体_GB2312"/>
          <w:b/>
          <w:bCs/>
          <w:sz w:val="24"/>
          <w:szCs w:val="24"/>
        </w:rPr>
        <w:t>版本</w:t>
      </w:r>
      <w:r>
        <w:rPr>
          <w:rFonts w:hint="eastAsia" w:ascii="楷体_GB2312" w:eastAsia="楷体_GB2312" w:cs="楷体_GB2312"/>
          <w:b/>
          <w:bCs/>
          <w:sz w:val="24"/>
          <w:szCs w:val="24"/>
        </w:rPr>
        <w:t>号</w:t>
      </w:r>
      <w:r>
        <w:rPr>
          <w:rFonts w:ascii="楷体_GB2312" w:eastAsia="楷体_GB2312" w:cs="楷体_GB2312"/>
          <w:b/>
          <w:bCs/>
          <w:sz w:val="24"/>
          <w:szCs w:val="24"/>
        </w:rPr>
        <w:t>）</w:t>
      </w:r>
      <w:r>
        <w:rPr>
          <w:rFonts w:hint="eastAsia" w:ascii="楷体_GB2312" w:eastAsia="楷体_GB2312" w:cs="楷体_GB2312"/>
          <w:b/>
          <w:bCs/>
          <w:sz w:val="24"/>
          <w:szCs w:val="24"/>
        </w:rPr>
        <w:t>：</w:t>
      </w:r>
      <w:r>
        <w:rPr>
          <w:rFonts w:hint="eastAsia" w:ascii="楷体_GB2312" w:eastAsia="楷体_GB2312" w:cs="楷体_GB2312"/>
          <w:b/>
          <w:bCs/>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p>
    <w:p>
      <w:pPr>
        <w:spacing w:line="480" w:lineRule="auto"/>
        <w:ind w:firstLine="1446" w:firstLineChars="600"/>
        <w:rPr>
          <w:rFonts w:ascii="宋体" w:cs="宋体"/>
          <w:sz w:val="24"/>
          <w:szCs w:val="24"/>
          <w:u w:val="single"/>
        </w:rPr>
      </w:pPr>
      <w:r>
        <w:rPr>
          <w:rFonts w:hint="eastAsia" w:ascii="楷体_GB2312" w:eastAsia="楷体_GB2312" w:cs="楷体_GB2312"/>
          <w:b/>
          <w:bCs/>
          <w:sz w:val="24"/>
          <w:szCs w:val="24"/>
        </w:rPr>
        <w:t>申请级别：</w:t>
      </w:r>
      <w:r>
        <w:rPr>
          <w:rFonts w:hint="eastAsia" w:ascii="楷体_GB2312" w:eastAsia="楷体_GB2312" w:cs="楷体_GB2312"/>
          <w:b/>
          <w:bCs/>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ascii="宋体" w:hAnsi="宋体"/>
          <w:szCs w:val="24"/>
          <w:u w:val="single"/>
        </w:rPr>
        <w:sym w:font="Wingdings" w:char="F06F"/>
      </w:r>
      <w:r>
        <w:rPr>
          <w:rFonts w:ascii="宋体" w:hAnsi="宋体"/>
          <w:szCs w:val="24"/>
          <w:u w:val="single"/>
        </w:rPr>
        <w:t xml:space="preserve"> </w:t>
      </w:r>
      <w:r>
        <w:rPr>
          <w:rFonts w:hint="eastAsia" w:ascii="楷体_GB2312" w:eastAsia="楷体_GB2312" w:cs="楷体_GB2312"/>
          <w:b/>
          <w:bCs/>
          <w:sz w:val="24"/>
          <w:szCs w:val="24"/>
          <w:u w:val="single"/>
        </w:rPr>
        <w:t>一星</w:t>
      </w:r>
      <w:r>
        <w:rPr>
          <w:rFonts w:ascii="楷体_GB2312" w:eastAsia="楷体_GB2312" w:cs="楷体_GB2312"/>
          <w:b/>
          <w:bCs/>
          <w:sz w:val="24"/>
          <w:szCs w:val="24"/>
          <w:u w:val="single"/>
        </w:rPr>
        <w:t xml:space="preserve">  </w:t>
      </w:r>
      <w:r>
        <w:rPr>
          <w:rFonts w:ascii="宋体" w:hAnsi="宋体"/>
          <w:szCs w:val="24"/>
          <w:u w:val="single"/>
        </w:rPr>
        <w:sym w:font="Wingdings" w:char="F06F"/>
      </w:r>
      <w:r>
        <w:rPr>
          <w:rFonts w:ascii="宋体" w:hAnsi="宋体"/>
          <w:szCs w:val="24"/>
          <w:u w:val="single"/>
        </w:rPr>
        <w:t xml:space="preserve"> </w:t>
      </w:r>
      <w:r>
        <w:rPr>
          <w:rFonts w:hint="eastAsia" w:ascii="楷体_GB2312" w:eastAsia="楷体_GB2312" w:cs="楷体_GB2312"/>
          <w:b/>
          <w:bCs/>
          <w:sz w:val="24"/>
          <w:szCs w:val="24"/>
          <w:u w:val="single"/>
        </w:rPr>
        <w:t xml:space="preserve">二星  </w:t>
      </w:r>
      <w:r>
        <w:rPr>
          <w:rFonts w:ascii="宋体" w:hAnsi="宋体"/>
          <w:szCs w:val="24"/>
          <w:u w:val="single"/>
        </w:rPr>
        <w:sym w:font="Wingdings" w:char="F06F"/>
      </w:r>
      <w:r>
        <w:rPr>
          <w:rFonts w:ascii="宋体" w:hAnsi="宋体"/>
          <w:szCs w:val="24"/>
          <w:u w:val="single"/>
        </w:rPr>
        <w:t xml:space="preserve"> </w:t>
      </w:r>
      <w:r>
        <w:rPr>
          <w:rFonts w:hint="eastAsia" w:ascii="楷体_GB2312" w:eastAsia="楷体_GB2312" w:cs="楷体_GB2312"/>
          <w:b/>
          <w:bCs/>
          <w:sz w:val="24"/>
          <w:szCs w:val="24"/>
          <w:u w:val="single"/>
        </w:rPr>
        <w:t>三星</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p>
    <w:p>
      <w:pPr>
        <w:spacing w:line="480" w:lineRule="auto"/>
        <w:ind w:firstLine="1446" w:firstLineChars="600"/>
        <w:rPr>
          <w:rFonts w:ascii="宋体" w:cs="宋体"/>
          <w:sz w:val="24"/>
          <w:szCs w:val="24"/>
          <w:u w:val="single"/>
        </w:rPr>
      </w:pPr>
      <w:r>
        <w:rPr>
          <w:rFonts w:hint="eastAsia" w:ascii="楷体_GB2312" w:eastAsia="楷体_GB2312" w:cs="楷体_GB2312"/>
          <w:b/>
          <w:bCs/>
          <w:sz w:val="24"/>
          <w:szCs w:val="24"/>
        </w:rPr>
        <w:t>认证委托人（盖章）：</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p>
    <w:p>
      <w:pPr>
        <w:spacing w:line="480" w:lineRule="auto"/>
        <w:ind w:firstLine="1446" w:firstLineChars="600"/>
        <w:rPr>
          <w:rFonts w:ascii="楷体_GB2312" w:eastAsia="楷体_GB2312"/>
          <w:b/>
          <w:bCs/>
          <w:sz w:val="24"/>
          <w:szCs w:val="24"/>
        </w:rPr>
      </w:pPr>
      <w:r>
        <w:rPr>
          <w:rFonts w:hint="eastAsia" w:ascii="楷体_GB2312" w:eastAsia="楷体_GB2312" w:cs="楷体_GB2312"/>
          <w:b/>
          <w:bCs/>
          <w:sz w:val="24"/>
          <w:szCs w:val="24"/>
        </w:rPr>
        <w:t>申请日期：</w:t>
      </w:r>
      <w:r>
        <w:rPr>
          <w:rFonts w:ascii="楷体_GB2312" w:eastAsia="楷体_GB2312"/>
          <w:b/>
          <w:bCs/>
          <w:sz w:val="24"/>
          <w:szCs w:val="24"/>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r>
        <w:rPr>
          <w:rFonts w:ascii="宋体" w:cs="宋体"/>
          <w:sz w:val="24"/>
          <w:szCs w:val="24"/>
          <w:u w:val="single"/>
        </w:rPr>
        <w:t xml:space="preserve">   </w:t>
      </w:r>
      <w:r>
        <w:rPr>
          <w:rFonts w:hint="eastAsia" w:ascii="宋体" w:cs="宋体"/>
          <w:sz w:val="24"/>
          <w:szCs w:val="24"/>
          <w:u w:val="single"/>
        </w:rPr>
        <w:t xml:space="preserve">          </w:t>
      </w:r>
    </w:p>
    <w:p/>
    <w:p>
      <w:pPr>
        <w:jc w:val="center"/>
        <w:rPr>
          <w:rFonts w:eastAsia="楷体_GB2312" w:cs="楷体_GB2312"/>
          <w:b/>
          <w:bCs/>
          <w:sz w:val="32"/>
          <w:szCs w:val="32"/>
        </w:rPr>
      </w:pPr>
      <w:r>
        <w:rPr>
          <w:rFonts w:hint="eastAsia" w:eastAsia="楷体_GB2312" w:cs="楷体_GB2312"/>
          <w:b/>
          <w:bCs/>
          <w:sz w:val="32"/>
          <w:szCs w:val="32"/>
        </w:rPr>
        <w:t>中国网络安全审查认证和市场监管大数据中心 制</w:t>
      </w:r>
    </w:p>
    <w:p>
      <w:pPr>
        <w:pStyle w:val="2"/>
        <w:spacing w:before="156" w:beforeLines="50" w:after="156" w:afterLines="50" w:line="420" w:lineRule="exact"/>
        <w:jc w:val="center"/>
        <w:rPr>
          <w:rFonts w:eastAsia="楷体_GB2312" w:cs="楷体_GB2312"/>
          <w:b w:val="0"/>
          <w:bCs w:val="0"/>
          <w:sz w:val="32"/>
          <w:szCs w:val="32"/>
        </w:rPr>
        <w:sectPr>
          <w:footerReference r:id="rId5" w:type="first"/>
          <w:footerReference r:id="rId3" w:type="default"/>
          <w:footerReference r:id="rId4" w:type="even"/>
          <w:pgSz w:w="11906" w:h="16838"/>
          <w:pgMar w:top="1440" w:right="1797" w:bottom="1440" w:left="1797" w:header="851" w:footer="992" w:gutter="0"/>
          <w:pgNumType w:start="1"/>
          <w:cols w:space="720" w:num="1"/>
          <w:titlePg/>
          <w:docGrid w:type="lines" w:linePitch="312" w:charSpace="0"/>
        </w:sectPr>
      </w:pPr>
    </w:p>
    <w:p>
      <w:pPr>
        <w:jc w:val="center"/>
        <w:rPr>
          <w:b/>
          <w:sz w:val="28"/>
          <w:szCs w:val="28"/>
        </w:rPr>
      </w:pPr>
    </w:p>
    <w:p>
      <w:pPr>
        <w:jc w:val="center"/>
        <w:rPr>
          <w:b/>
          <w:sz w:val="28"/>
          <w:szCs w:val="28"/>
        </w:rPr>
      </w:pPr>
      <w:r>
        <w:rPr>
          <w:rFonts w:hint="eastAsia"/>
          <w:b/>
          <w:sz w:val="28"/>
          <w:szCs w:val="28"/>
        </w:rPr>
        <w:t>目  录</w:t>
      </w:r>
    </w:p>
    <w:p>
      <w:pPr>
        <w:jc w:val="center"/>
        <w:rPr>
          <w:b/>
          <w:sz w:val="28"/>
          <w:szCs w:val="28"/>
        </w:rPr>
      </w:pPr>
    </w:p>
    <w:p>
      <w:pPr>
        <w:pStyle w:val="20"/>
        <w:tabs>
          <w:tab w:val="right" w:leader="dot" w:pos="8296"/>
        </w:tabs>
        <w:rPr>
          <w:rFonts w:ascii="Calibri" w:hAnsi="Calibri"/>
          <w:szCs w:val="22"/>
        </w:rPr>
      </w:pPr>
      <w:r>
        <w:fldChar w:fldCharType="begin"/>
      </w:r>
      <w:r>
        <w:instrText xml:space="preserve"> </w:instrText>
      </w:r>
      <w:r>
        <w:rPr>
          <w:rFonts w:hint="eastAsia"/>
        </w:rPr>
        <w:instrText xml:space="preserve">TOC \o "1-3" \h \z \u</w:instrText>
      </w:r>
      <w:r>
        <w:instrText xml:space="preserve"> </w:instrText>
      </w:r>
      <w:r>
        <w:fldChar w:fldCharType="separate"/>
      </w:r>
      <w:r>
        <w:fldChar w:fldCharType="begin"/>
      </w:r>
      <w:r>
        <w:instrText xml:space="preserve"> HYPERLINK \l "_Toc464049492" </w:instrText>
      </w:r>
      <w:r>
        <w:fldChar w:fldCharType="separate"/>
      </w:r>
      <w:r>
        <w:rPr>
          <w:rStyle w:val="30"/>
          <w:rFonts w:hint="eastAsia"/>
        </w:rPr>
        <w:t>申请须知</w:t>
      </w:r>
      <w:r>
        <w:tab/>
      </w:r>
      <w:r>
        <w:fldChar w:fldCharType="begin"/>
      </w:r>
      <w:r>
        <w:instrText xml:space="preserve"> PAGEREF _Toc464049492 \h </w:instrText>
      </w:r>
      <w:r>
        <w:fldChar w:fldCharType="separate"/>
      </w:r>
      <w:r>
        <w:t>II</w:t>
      </w:r>
      <w:r>
        <w:fldChar w:fldCharType="end"/>
      </w:r>
      <w:r>
        <w:fldChar w:fldCharType="end"/>
      </w:r>
    </w:p>
    <w:p>
      <w:pPr>
        <w:pStyle w:val="20"/>
        <w:tabs>
          <w:tab w:val="left" w:pos="420"/>
          <w:tab w:val="right" w:leader="dot" w:pos="8296"/>
        </w:tabs>
        <w:rPr>
          <w:rFonts w:ascii="Calibri" w:hAnsi="Calibri"/>
          <w:szCs w:val="22"/>
        </w:rPr>
      </w:pPr>
      <w:r>
        <w:fldChar w:fldCharType="begin"/>
      </w:r>
      <w:r>
        <w:instrText xml:space="preserve"> HYPERLINK \l "_Toc464049493" </w:instrText>
      </w:r>
      <w:r>
        <w:fldChar w:fldCharType="separate"/>
      </w:r>
      <w:r>
        <w:rPr>
          <w:rStyle w:val="30"/>
          <w:rFonts w:cs="宋体"/>
        </w:rPr>
        <w:t>1.</w:t>
      </w:r>
      <w:r>
        <w:rPr>
          <w:rFonts w:ascii="Calibri" w:hAnsi="Calibri"/>
          <w:szCs w:val="22"/>
        </w:rPr>
        <w:tab/>
      </w:r>
      <w:r>
        <w:rPr>
          <w:rStyle w:val="30"/>
          <w:rFonts w:hint="eastAsia" w:cs="宋体"/>
        </w:rPr>
        <w:t>认证委托人（运营机构）</w:t>
      </w:r>
      <w:r>
        <w:tab/>
      </w:r>
      <w:r>
        <w:fldChar w:fldCharType="begin"/>
      </w:r>
      <w:r>
        <w:instrText xml:space="preserve"> PAGEREF _Toc464049493 \h </w:instrText>
      </w:r>
      <w:r>
        <w:fldChar w:fldCharType="separate"/>
      </w:r>
      <w:r>
        <w:t>1</w:t>
      </w:r>
      <w:r>
        <w:fldChar w:fldCharType="end"/>
      </w:r>
      <w:r>
        <w:fldChar w:fldCharType="end"/>
      </w:r>
    </w:p>
    <w:p>
      <w:pPr>
        <w:pStyle w:val="20"/>
        <w:tabs>
          <w:tab w:val="left" w:pos="420"/>
          <w:tab w:val="right" w:leader="dot" w:pos="8296"/>
        </w:tabs>
        <w:rPr>
          <w:rFonts w:ascii="Calibri" w:hAnsi="Calibri"/>
          <w:szCs w:val="22"/>
        </w:rPr>
      </w:pPr>
      <w:r>
        <w:fldChar w:fldCharType="begin"/>
      </w:r>
      <w:r>
        <w:instrText xml:space="preserve"> HYPERLINK \l "_Toc464049494" </w:instrText>
      </w:r>
      <w:r>
        <w:fldChar w:fldCharType="separate"/>
      </w:r>
      <w:r>
        <w:rPr>
          <w:rStyle w:val="30"/>
          <w:rFonts w:cs="宋体"/>
        </w:rPr>
        <w:t>2.</w:t>
      </w:r>
      <w:r>
        <w:rPr>
          <w:rFonts w:ascii="Calibri" w:hAnsi="Calibri"/>
          <w:szCs w:val="22"/>
        </w:rPr>
        <w:tab/>
      </w:r>
      <w:r>
        <w:rPr>
          <w:rStyle w:val="30"/>
          <w:rFonts w:hint="eastAsia" w:cs="宋体"/>
        </w:rPr>
        <w:t>交易平台信息</w:t>
      </w:r>
      <w:r>
        <w:tab/>
      </w:r>
      <w:r>
        <w:fldChar w:fldCharType="begin"/>
      </w:r>
      <w:r>
        <w:instrText xml:space="preserve"> PAGEREF _Toc464049494 \h </w:instrText>
      </w:r>
      <w:r>
        <w:fldChar w:fldCharType="separate"/>
      </w:r>
      <w:r>
        <w:t>1</w:t>
      </w:r>
      <w:r>
        <w:fldChar w:fldCharType="end"/>
      </w:r>
      <w:r>
        <w:fldChar w:fldCharType="end"/>
      </w:r>
    </w:p>
    <w:p>
      <w:pPr>
        <w:pStyle w:val="20"/>
        <w:tabs>
          <w:tab w:val="left" w:pos="420"/>
          <w:tab w:val="right" w:leader="dot" w:pos="8296"/>
        </w:tabs>
        <w:rPr>
          <w:rFonts w:ascii="Calibri" w:hAnsi="Calibri"/>
          <w:szCs w:val="22"/>
        </w:rPr>
      </w:pPr>
      <w:r>
        <w:fldChar w:fldCharType="begin"/>
      </w:r>
      <w:r>
        <w:instrText xml:space="preserve"> HYPERLINK \l "_Toc464049495" </w:instrText>
      </w:r>
      <w:r>
        <w:fldChar w:fldCharType="separate"/>
      </w:r>
      <w:r>
        <w:rPr>
          <w:rStyle w:val="30"/>
          <w:rFonts w:cs="宋体"/>
        </w:rPr>
        <w:t>3.</w:t>
      </w:r>
      <w:r>
        <w:rPr>
          <w:rFonts w:ascii="Calibri" w:hAnsi="Calibri"/>
          <w:szCs w:val="22"/>
        </w:rPr>
        <w:tab/>
      </w:r>
      <w:r>
        <w:rPr>
          <w:rStyle w:val="30"/>
          <w:rFonts w:hint="eastAsia" w:cs="宋体"/>
        </w:rPr>
        <w:t>附件</w:t>
      </w:r>
      <w:r>
        <w:tab/>
      </w:r>
      <w:r>
        <w:fldChar w:fldCharType="begin"/>
      </w:r>
      <w:r>
        <w:instrText xml:space="preserve"> PAGEREF _Toc464049495 \h </w:instrText>
      </w:r>
      <w:r>
        <w:fldChar w:fldCharType="separate"/>
      </w:r>
      <w:r>
        <w:t>2</w:t>
      </w:r>
      <w:r>
        <w:fldChar w:fldCharType="end"/>
      </w:r>
      <w:r>
        <w:fldChar w:fldCharType="end"/>
      </w:r>
    </w:p>
    <w:p>
      <w:pPr>
        <w:pStyle w:val="20"/>
        <w:tabs>
          <w:tab w:val="right" w:leader="dot" w:pos="8296"/>
        </w:tabs>
        <w:rPr>
          <w:rFonts w:ascii="Calibri" w:hAnsi="Calibri"/>
          <w:szCs w:val="22"/>
        </w:rPr>
      </w:pPr>
      <w:r>
        <w:fldChar w:fldCharType="begin"/>
      </w:r>
      <w:r>
        <w:instrText xml:space="preserve"> HYPERLINK \l "_Toc464049496" </w:instrText>
      </w:r>
      <w:r>
        <w:fldChar w:fldCharType="separate"/>
      </w:r>
      <w:r>
        <w:rPr>
          <w:rStyle w:val="30"/>
          <w:rFonts w:hint="eastAsia" w:cs="宋体"/>
        </w:rPr>
        <w:t>认证委托人承诺</w:t>
      </w:r>
      <w:r>
        <w:tab/>
      </w:r>
      <w:r>
        <w:fldChar w:fldCharType="begin"/>
      </w:r>
      <w:r>
        <w:instrText xml:space="preserve"> PAGEREF _Toc464049496 \h </w:instrText>
      </w:r>
      <w:r>
        <w:fldChar w:fldCharType="separate"/>
      </w:r>
      <w:r>
        <w:t>3</w:t>
      </w:r>
      <w:r>
        <w:fldChar w:fldCharType="end"/>
      </w:r>
      <w:r>
        <w:fldChar w:fldCharType="end"/>
      </w:r>
    </w:p>
    <w:p>
      <w:pPr>
        <w:pStyle w:val="20"/>
        <w:tabs>
          <w:tab w:val="right" w:leader="dot" w:pos="8296"/>
        </w:tabs>
        <w:rPr>
          <w:rFonts w:ascii="Calibri" w:hAnsi="Calibri"/>
          <w:szCs w:val="22"/>
        </w:rPr>
      </w:pPr>
      <w:r>
        <w:fldChar w:fldCharType="begin"/>
      </w:r>
      <w:r>
        <w:instrText xml:space="preserve"> HYPERLINK \l "_Toc464049497" </w:instrText>
      </w:r>
      <w:r>
        <w:fldChar w:fldCharType="separate"/>
      </w:r>
      <w:r>
        <w:rPr>
          <w:rStyle w:val="30"/>
          <w:rFonts w:hint="eastAsia" w:cs="宋体"/>
        </w:rPr>
        <w:t>自我评价声明</w:t>
      </w:r>
      <w:r>
        <w:tab/>
      </w:r>
      <w:r>
        <w:fldChar w:fldCharType="begin"/>
      </w:r>
      <w:r>
        <w:instrText xml:space="preserve"> PAGEREF _Toc464049497 \h </w:instrText>
      </w:r>
      <w:r>
        <w:fldChar w:fldCharType="separate"/>
      </w:r>
      <w:r>
        <w:t>4</w:t>
      </w:r>
      <w:r>
        <w:fldChar w:fldCharType="end"/>
      </w:r>
      <w:r>
        <w:fldChar w:fldCharType="end"/>
      </w:r>
    </w:p>
    <w:p>
      <w:pPr>
        <w:pStyle w:val="20"/>
        <w:tabs>
          <w:tab w:val="right" w:leader="dot" w:pos="8296"/>
        </w:tabs>
        <w:rPr>
          <w:rFonts w:ascii="Calibri" w:hAnsi="Calibri"/>
          <w:szCs w:val="22"/>
        </w:rPr>
      </w:pPr>
      <w:r>
        <w:fldChar w:fldCharType="begin"/>
      </w:r>
      <w:r>
        <w:instrText xml:space="preserve"> HYPERLINK \l "_Toc464049498" </w:instrText>
      </w:r>
      <w:r>
        <w:fldChar w:fldCharType="separate"/>
      </w:r>
      <w:r>
        <w:rPr>
          <w:rStyle w:val="30"/>
          <w:rFonts w:hint="eastAsia" w:cs="宋体"/>
        </w:rPr>
        <w:t>检测项适用性声明</w:t>
      </w:r>
      <w:r>
        <w:tab/>
      </w:r>
      <w:r>
        <w:fldChar w:fldCharType="begin"/>
      </w:r>
      <w:r>
        <w:instrText xml:space="preserve"> PAGEREF _Toc464049498 \h </w:instrText>
      </w:r>
      <w:r>
        <w:fldChar w:fldCharType="separate"/>
      </w:r>
      <w:r>
        <w:t>6</w:t>
      </w:r>
      <w:r>
        <w:fldChar w:fldCharType="end"/>
      </w:r>
      <w:r>
        <w:fldChar w:fldCharType="end"/>
      </w:r>
    </w:p>
    <w:p>
      <w:pPr>
        <w:pStyle w:val="20"/>
        <w:tabs>
          <w:tab w:val="right" w:leader="dot" w:pos="8296"/>
        </w:tabs>
        <w:rPr>
          <w:rFonts w:ascii="Calibri" w:hAnsi="Calibri"/>
          <w:szCs w:val="22"/>
        </w:rPr>
      </w:pPr>
      <w:r>
        <w:fldChar w:fldCharType="begin"/>
      </w:r>
      <w:r>
        <w:instrText xml:space="preserve"> HYPERLINK \l "_Toc464049499" </w:instrText>
      </w:r>
      <w:r>
        <w:fldChar w:fldCharType="separate"/>
      </w:r>
      <w:r>
        <w:rPr>
          <w:rStyle w:val="30"/>
          <w:rFonts w:hint="eastAsia" w:cs="宋体"/>
        </w:rPr>
        <w:t>一致性声明</w:t>
      </w:r>
      <w:r>
        <w:tab/>
      </w:r>
      <w:r>
        <w:fldChar w:fldCharType="begin"/>
      </w:r>
      <w:r>
        <w:instrText xml:space="preserve"> PAGEREF _Toc464049499 \h </w:instrText>
      </w:r>
      <w:r>
        <w:fldChar w:fldCharType="separate"/>
      </w:r>
      <w:r>
        <w:t>33</w:t>
      </w:r>
      <w:r>
        <w:fldChar w:fldCharType="end"/>
      </w:r>
      <w:r>
        <w:fldChar w:fldCharType="end"/>
      </w:r>
    </w:p>
    <w:p>
      <w:r>
        <w:fldChar w:fldCharType="end"/>
      </w:r>
    </w:p>
    <w:p>
      <w:pPr>
        <w:jc w:val="center"/>
      </w:pPr>
      <w:r>
        <w:br w:type="page"/>
      </w:r>
    </w:p>
    <w:p>
      <w:pPr>
        <w:pStyle w:val="2"/>
        <w:jc w:val="center"/>
        <w:rPr>
          <w:sz w:val="32"/>
        </w:rPr>
      </w:pPr>
      <w:bookmarkStart w:id="0" w:name="_Toc464049492"/>
      <w:r>
        <w:rPr>
          <w:rFonts w:hint="eastAsia"/>
          <w:sz w:val="32"/>
        </w:rPr>
        <w:t>申请</w:t>
      </w:r>
      <w:r>
        <w:rPr>
          <w:sz w:val="32"/>
        </w:rPr>
        <w:t>须知</w:t>
      </w:r>
      <w:bookmarkEnd w:id="0"/>
    </w:p>
    <w:p>
      <w:pPr>
        <w:jc w:val="left"/>
        <w:rPr>
          <w:b/>
        </w:rPr>
      </w:pPr>
    </w:p>
    <w:p>
      <w:pPr>
        <w:numPr>
          <w:ilvl w:val="0"/>
          <w:numId w:val="2"/>
        </w:numPr>
        <w:spacing w:line="360" w:lineRule="auto"/>
        <w:jc w:val="left"/>
        <w:rPr>
          <w:sz w:val="24"/>
        </w:rPr>
      </w:pPr>
      <w:r>
        <w:rPr>
          <w:sz w:val="24"/>
        </w:rPr>
        <w:t>本申请书适用于电子招标投标系统交易平台认证。</w:t>
      </w:r>
    </w:p>
    <w:p>
      <w:pPr>
        <w:numPr>
          <w:ilvl w:val="0"/>
          <w:numId w:val="2"/>
        </w:numPr>
        <w:spacing w:line="360" w:lineRule="auto"/>
        <w:jc w:val="left"/>
        <w:rPr>
          <w:sz w:val="24"/>
        </w:rPr>
      </w:pPr>
      <w:r>
        <w:rPr>
          <w:rFonts w:hint="eastAsia"/>
          <w:sz w:val="24"/>
        </w:rPr>
        <w:t>交易平台</w:t>
      </w:r>
      <w:r>
        <w:rPr>
          <w:sz w:val="24"/>
        </w:rPr>
        <w:t>获得认证证书</w:t>
      </w:r>
      <w:r>
        <w:rPr>
          <w:rFonts w:hint="eastAsia"/>
          <w:sz w:val="24"/>
        </w:rPr>
        <w:t>仅</w:t>
      </w:r>
      <w:r>
        <w:rPr>
          <w:sz w:val="24"/>
        </w:rPr>
        <w:t>表明其符合特定标准</w:t>
      </w:r>
      <w:r>
        <w:rPr>
          <w:rFonts w:hint="eastAsia"/>
          <w:sz w:val="24"/>
        </w:rPr>
        <w:t>/规范</w:t>
      </w:r>
      <w:r>
        <w:rPr>
          <w:sz w:val="24"/>
        </w:rPr>
        <w:t>的要求。</w:t>
      </w:r>
    </w:p>
    <w:p>
      <w:pPr>
        <w:numPr>
          <w:ilvl w:val="0"/>
          <w:numId w:val="2"/>
        </w:numPr>
        <w:spacing w:line="360" w:lineRule="auto"/>
        <w:jc w:val="left"/>
        <w:rPr>
          <w:sz w:val="24"/>
        </w:rPr>
      </w:pPr>
      <w:r>
        <w:rPr>
          <w:rFonts w:hint="eastAsia"/>
          <w:sz w:val="24"/>
        </w:rPr>
        <w:t>认证</w:t>
      </w:r>
      <w:r>
        <w:rPr>
          <w:sz w:val="24"/>
        </w:rPr>
        <w:t>委托人应对交易平台中</w:t>
      </w:r>
      <w:r>
        <w:rPr>
          <w:rFonts w:hint="eastAsia"/>
          <w:sz w:val="24"/>
        </w:rPr>
        <w:t>涉及</w:t>
      </w:r>
      <w:r>
        <w:rPr>
          <w:sz w:val="24"/>
        </w:rPr>
        <w:t>的知识产权</w:t>
      </w:r>
      <w:r>
        <w:rPr>
          <w:rFonts w:hint="eastAsia"/>
          <w:sz w:val="24"/>
        </w:rPr>
        <w:t>/专利</w:t>
      </w:r>
      <w:r>
        <w:rPr>
          <w:sz w:val="24"/>
        </w:rPr>
        <w:t>负责，我中心不承担此类鉴别责任。</w:t>
      </w:r>
    </w:p>
    <w:p>
      <w:pPr>
        <w:numPr>
          <w:ilvl w:val="0"/>
          <w:numId w:val="2"/>
        </w:numPr>
        <w:spacing w:line="360" w:lineRule="auto"/>
        <w:jc w:val="left"/>
        <w:rPr>
          <w:sz w:val="24"/>
        </w:rPr>
      </w:pPr>
      <w:r>
        <w:rPr>
          <w:rFonts w:hint="eastAsia"/>
          <w:sz w:val="24"/>
        </w:rPr>
        <w:t>认证</w:t>
      </w:r>
      <w:r>
        <w:rPr>
          <w:sz w:val="24"/>
        </w:rPr>
        <w:t>委托人</w:t>
      </w:r>
      <w:r>
        <w:rPr>
          <w:rFonts w:hint="eastAsia"/>
          <w:sz w:val="24"/>
        </w:rPr>
        <w:t>在</w:t>
      </w:r>
      <w:r>
        <w:rPr>
          <w:sz w:val="24"/>
        </w:rPr>
        <w:t>填写申请书的时候，不能对申请书现有文字</w:t>
      </w:r>
      <w:r>
        <w:rPr>
          <w:rFonts w:hint="eastAsia"/>
          <w:sz w:val="24"/>
        </w:rPr>
        <w:t>进行</w:t>
      </w:r>
      <w:r>
        <w:rPr>
          <w:sz w:val="24"/>
        </w:rPr>
        <w:t>任何修改。</w:t>
      </w:r>
    </w:p>
    <w:p>
      <w:pPr>
        <w:numPr>
          <w:ilvl w:val="0"/>
          <w:numId w:val="2"/>
        </w:numPr>
        <w:spacing w:line="360" w:lineRule="auto"/>
        <w:jc w:val="left"/>
        <w:rPr>
          <w:sz w:val="24"/>
        </w:rPr>
      </w:pPr>
      <w:r>
        <w:rPr>
          <w:rFonts w:hint="eastAsia"/>
          <w:sz w:val="24"/>
        </w:rPr>
        <w:t>认证</w:t>
      </w:r>
      <w:r>
        <w:rPr>
          <w:sz w:val="24"/>
        </w:rPr>
        <w:t>委托人提交纸质版资料</w:t>
      </w:r>
      <w:r>
        <w:rPr>
          <w:rFonts w:hint="eastAsia"/>
          <w:sz w:val="24"/>
        </w:rPr>
        <w:t>1份</w:t>
      </w:r>
      <w:r>
        <w:rPr>
          <w:sz w:val="24"/>
        </w:rPr>
        <w:t>，电子版资料</w:t>
      </w:r>
      <w:r>
        <w:rPr>
          <w:rFonts w:hint="eastAsia"/>
          <w:sz w:val="24"/>
        </w:rPr>
        <w:t>（</w:t>
      </w:r>
      <w:r>
        <w:rPr>
          <w:sz w:val="24"/>
        </w:rPr>
        <w:t>光盘形式）</w:t>
      </w:r>
      <w:r>
        <w:rPr>
          <w:rFonts w:hint="eastAsia"/>
          <w:sz w:val="24"/>
        </w:rPr>
        <w:t>1份，</w:t>
      </w:r>
      <w:r>
        <w:rPr>
          <w:sz w:val="24"/>
        </w:rPr>
        <w:t>并确保版本</w:t>
      </w:r>
      <w:r>
        <w:rPr>
          <w:rFonts w:hint="eastAsia"/>
          <w:sz w:val="24"/>
        </w:rPr>
        <w:t>一致</w:t>
      </w:r>
      <w:r>
        <w:rPr>
          <w:sz w:val="24"/>
        </w:rPr>
        <w:t>。</w:t>
      </w:r>
    </w:p>
    <w:p>
      <w:pPr>
        <w:spacing w:line="360" w:lineRule="auto"/>
        <w:jc w:val="left"/>
        <w:rPr>
          <w:sz w:val="24"/>
        </w:rPr>
      </w:pPr>
    </w:p>
    <w:p>
      <w:pPr>
        <w:spacing w:line="360" w:lineRule="auto"/>
        <w:jc w:val="left"/>
        <w:rPr>
          <w:sz w:val="24"/>
        </w:rPr>
      </w:pPr>
      <w:r>
        <w:rPr>
          <w:rFonts w:hint="eastAsia"/>
          <w:sz w:val="24"/>
        </w:rPr>
        <w:t>申请资料</w:t>
      </w:r>
      <w:r>
        <w:rPr>
          <w:sz w:val="24"/>
        </w:rPr>
        <w:t>邮寄地址：</w:t>
      </w:r>
    </w:p>
    <w:p>
      <w:pPr>
        <w:spacing w:line="360" w:lineRule="auto"/>
        <w:jc w:val="left"/>
        <w:rPr>
          <w:sz w:val="24"/>
        </w:rPr>
      </w:pPr>
      <w:r>
        <w:rPr>
          <w:rFonts w:hint="eastAsia"/>
          <w:sz w:val="24"/>
        </w:rPr>
        <w:t>中国网络安全审查认证和市场监管大数据中心</w:t>
      </w:r>
    </w:p>
    <w:p>
      <w:pPr>
        <w:spacing w:line="360" w:lineRule="auto"/>
        <w:jc w:val="left"/>
        <w:rPr>
          <w:sz w:val="24"/>
        </w:rPr>
      </w:pPr>
      <w:r>
        <w:rPr>
          <w:rFonts w:hint="eastAsia"/>
          <w:sz w:val="24"/>
        </w:rPr>
        <w:t>地址</w:t>
      </w:r>
      <w:r>
        <w:rPr>
          <w:sz w:val="24"/>
        </w:rPr>
        <w:t>：北京市</w:t>
      </w:r>
      <w:r>
        <w:rPr>
          <w:rFonts w:hint="eastAsia"/>
          <w:sz w:val="24"/>
        </w:rPr>
        <w:t>西城区</w:t>
      </w:r>
      <w:r>
        <w:rPr>
          <w:sz w:val="24"/>
        </w:rPr>
        <w:t>三里河东路</w:t>
      </w:r>
      <w:r>
        <w:rPr>
          <w:rFonts w:hint="eastAsia"/>
          <w:sz w:val="24"/>
        </w:rPr>
        <w:t>8号</w:t>
      </w:r>
    </w:p>
    <w:p>
      <w:pPr>
        <w:spacing w:line="360" w:lineRule="auto"/>
        <w:jc w:val="left"/>
        <w:rPr>
          <w:rFonts w:hint="default" w:eastAsia="宋体"/>
          <w:sz w:val="24"/>
          <w:lang w:val="en-US" w:eastAsia="zh-CN"/>
        </w:rPr>
      </w:pPr>
      <w:r>
        <w:rPr>
          <w:rFonts w:hint="eastAsia"/>
          <w:sz w:val="24"/>
        </w:rPr>
        <w:t>邮编</w:t>
      </w:r>
      <w:r>
        <w:rPr>
          <w:sz w:val="24"/>
        </w:rPr>
        <w:t>：</w:t>
      </w:r>
      <w:r>
        <w:rPr>
          <w:rFonts w:hint="eastAsia"/>
          <w:sz w:val="24"/>
          <w:highlight w:val="none"/>
        </w:rPr>
        <w:t>1000</w:t>
      </w:r>
      <w:r>
        <w:rPr>
          <w:rFonts w:hint="eastAsia"/>
          <w:sz w:val="24"/>
          <w:highlight w:val="none"/>
          <w:lang w:val="en-US" w:eastAsia="zh-CN"/>
        </w:rPr>
        <w:t>45</w:t>
      </w:r>
    </w:p>
    <w:p>
      <w:pPr>
        <w:spacing w:line="360" w:lineRule="auto"/>
        <w:jc w:val="left"/>
        <w:rPr>
          <w:sz w:val="24"/>
        </w:rPr>
      </w:pPr>
      <w:r>
        <w:rPr>
          <w:rFonts w:hint="eastAsia"/>
          <w:sz w:val="24"/>
        </w:rPr>
        <w:t>电话</w:t>
      </w:r>
      <w:r>
        <w:rPr>
          <w:sz w:val="24"/>
        </w:rPr>
        <w:t>：</w:t>
      </w:r>
      <w:r>
        <w:rPr>
          <w:rFonts w:hint="eastAsia"/>
          <w:sz w:val="24"/>
        </w:rPr>
        <w:t>010</w:t>
      </w:r>
      <w:r>
        <w:rPr>
          <w:sz w:val="24"/>
        </w:rPr>
        <w:t>-88652515</w:t>
      </w:r>
    </w:p>
    <w:p>
      <w:pPr>
        <w:spacing w:line="360" w:lineRule="auto"/>
        <w:jc w:val="left"/>
        <w:rPr>
          <w:sz w:val="24"/>
        </w:rPr>
        <w:sectPr>
          <w:headerReference r:id="rId6" w:type="default"/>
          <w:footerReference r:id="rId7" w:type="default"/>
          <w:pgSz w:w="11906" w:h="16838"/>
          <w:pgMar w:top="1440" w:right="1800" w:bottom="1440" w:left="1800" w:header="851" w:footer="992" w:gutter="0"/>
          <w:pgNumType w:fmt="upperRoman" w:start="1"/>
          <w:cols w:space="720" w:num="1"/>
          <w:docGrid w:type="lines" w:linePitch="312" w:charSpace="0"/>
        </w:sectPr>
      </w:pPr>
      <w:r>
        <w:rPr>
          <w:rFonts w:hint="eastAsia"/>
          <w:sz w:val="24"/>
        </w:rPr>
        <w:t>联系人：王也</w:t>
      </w:r>
    </w:p>
    <w:p>
      <w:pPr>
        <w:pStyle w:val="2"/>
        <w:numPr>
          <w:ilvl w:val="0"/>
          <w:numId w:val="3"/>
        </w:numPr>
        <w:spacing w:before="156" w:beforeLines="50" w:after="156" w:afterLines="50"/>
        <w:rPr>
          <w:rFonts w:cs="宋体"/>
          <w:sz w:val="28"/>
          <w:szCs w:val="28"/>
        </w:rPr>
      </w:pPr>
      <w:bookmarkStart w:id="1" w:name="_Toc464049493"/>
      <w:r>
        <w:rPr>
          <w:rFonts w:hint="eastAsia" w:cs="宋体"/>
          <w:sz w:val="28"/>
          <w:szCs w:val="28"/>
        </w:rPr>
        <w:t>认证委托人（</w:t>
      </w:r>
      <w:r>
        <w:rPr>
          <w:rFonts w:cs="宋体"/>
          <w:sz w:val="28"/>
          <w:szCs w:val="28"/>
        </w:rPr>
        <w:t>运营机构）</w:t>
      </w:r>
      <w:bookmarkEnd w:id="1"/>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3544"/>
        <w:gridCol w:w="1134"/>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1951" w:type="dxa"/>
            <w:shd w:val="clear" w:color="auto" w:fill="auto"/>
            <w:vAlign w:val="center"/>
          </w:tcPr>
          <w:p>
            <w:pPr>
              <w:spacing w:line="360" w:lineRule="auto"/>
              <w:jc w:val="center"/>
              <w:rPr>
                <w:rFonts w:ascii="宋体" w:cs="宋体"/>
              </w:rPr>
            </w:pPr>
            <w:r>
              <w:rPr>
                <w:rFonts w:hint="eastAsia" w:ascii="宋体" w:cs="宋体"/>
              </w:rPr>
              <w:t>认证委托人</w:t>
            </w:r>
          </w:p>
          <w:p>
            <w:pPr>
              <w:spacing w:line="360" w:lineRule="auto"/>
              <w:jc w:val="center"/>
              <w:rPr>
                <w:rFonts w:ascii="宋体" w:cs="宋体"/>
              </w:rPr>
            </w:pPr>
            <w:r>
              <w:rPr>
                <w:rFonts w:hint="eastAsia" w:ascii="宋体" w:cs="宋体"/>
              </w:rPr>
              <w:t>（</w:t>
            </w:r>
            <w:r>
              <w:rPr>
                <w:rFonts w:ascii="宋体" w:cs="宋体"/>
              </w:rPr>
              <w:t>运营机构</w:t>
            </w:r>
            <w:r>
              <w:rPr>
                <w:rFonts w:hint="eastAsia" w:ascii="宋体" w:cs="宋体"/>
              </w:rPr>
              <w:t>）</w:t>
            </w:r>
          </w:p>
        </w:tc>
        <w:tc>
          <w:tcPr>
            <w:tcW w:w="6577" w:type="dxa"/>
            <w:gridSpan w:val="3"/>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注册地址</w:t>
            </w:r>
          </w:p>
        </w:tc>
        <w:tc>
          <w:tcPr>
            <w:tcW w:w="6577" w:type="dxa"/>
            <w:gridSpan w:val="3"/>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认证委托人注册地行政区划</w:t>
            </w:r>
          </w:p>
          <w:p>
            <w:pPr>
              <w:spacing w:line="360" w:lineRule="auto"/>
              <w:jc w:val="center"/>
              <w:rPr>
                <w:rFonts w:ascii="宋体" w:cs="宋体"/>
              </w:rPr>
            </w:pPr>
            <w:r>
              <w:rPr>
                <w:rFonts w:hint="eastAsia" w:ascii="宋体" w:cs="宋体"/>
              </w:rPr>
              <w:t>（六位数字代码）</w:t>
            </w:r>
          </w:p>
        </w:tc>
        <w:tc>
          <w:tcPr>
            <w:tcW w:w="6577" w:type="dxa"/>
            <w:gridSpan w:val="3"/>
            <w:shd w:val="clear" w:color="auto" w:fill="auto"/>
          </w:tcPr>
          <w:p>
            <w:pPr>
              <w:spacing w:line="360" w:lineRule="auto"/>
              <w:rPr>
                <w:rFonts w:ascii="宋体" w:cs="宋体"/>
              </w:rPr>
            </w:pPr>
            <w:r>
              <w:rPr>
                <w:rFonts w:hint="eastAsia" w:ascii="宋体" w:cs="宋体"/>
              </w:rPr>
              <w:t>请参照地区行政区划代码.xlsx填写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所属国民经济行业</w:t>
            </w:r>
          </w:p>
          <w:p>
            <w:pPr>
              <w:spacing w:line="360" w:lineRule="auto"/>
              <w:jc w:val="center"/>
              <w:rPr>
                <w:rFonts w:ascii="宋体" w:cs="宋体"/>
              </w:rPr>
            </w:pPr>
            <w:r>
              <w:rPr>
                <w:rFonts w:hint="eastAsia" w:ascii="宋体" w:cs="宋体"/>
              </w:rPr>
              <w:t>（四位数字代码）</w:t>
            </w:r>
          </w:p>
        </w:tc>
        <w:tc>
          <w:tcPr>
            <w:tcW w:w="6577" w:type="dxa"/>
            <w:gridSpan w:val="3"/>
            <w:shd w:val="clear" w:color="auto" w:fill="auto"/>
          </w:tcPr>
          <w:p>
            <w:pPr>
              <w:spacing w:line="360" w:lineRule="auto"/>
              <w:rPr>
                <w:rFonts w:ascii="宋体" w:cs="宋体"/>
              </w:rPr>
            </w:pPr>
            <w:r>
              <w:rPr>
                <w:rFonts w:hint="eastAsia" w:ascii="宋体" w:cs="宋体"/>
              </w:rPr>
              <w:t>请参照国民经济行业分类代码表.xlsx填写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951" w:type="dxa"/>
            <w:vMerge w:val="restart"/>
            <w:shd w:val="clear" w:color="auto" w:fill="auto"/>
            <w:vAlign w:val="center"/>
          </w:tcPr>
          <w:p>
            <w:pPr>
              <w:spacing w:line="360" w:lineRule="auto"/>
              <w:jc w:val="center"/>
              <w:rPr>
                <w:rFonts w:ascii="宋体" w:cs="宋体"/>
              </w:rPr>
            </w:pPr>
            <w:r>
              <w:rPr>
                <w:rFonts w:hint="eastAsia" w:ascii="宋体" w:cs="宋体"/>
              </w:rPr>
              <w:t>统一社会信用代码</w:t>
            </w:r>
          </w:p>
          <w:p>
            <w:pPr>
              <w:spacing w:line="360" w:lineRule="auto"/>
              <w:jc w:val="center"/>
              <w:rPr>
                <w:rFonts w:ascii="宋体" w:cs="宋体"/>
              </w:rPr>
            </w:pPr>
            <w:r>
              <w:rPr>
                <w:rFonts w:hint="eastAsia" w:ascii="宋体" w:cs="宋体"/>
              </w:rPr>
              <w:t>/组织机构</w:t>
            </w:r>
            <w:r>
              <w:rPr>
                <w:rFonts w:ascii="宋体" w:cs="宋体"/>
              </w:rPr>
              <w:t>代码</w:t>
            </w:r>
          </w:p>
        </w:tc>
        <w:tc>
          <w:tcPr>
            <w:tcW w:w="6577" w:type="dxa"/>
            <w:gridSpan w:val="3"/>
            <w:shd w:val="clear" w:color="auto" w:fill="auto"/>
          </w:tcPr>
          <w:p>
            <w:pPr>
              <w:spacing w:line="360" w:lineRule="auto"/>
              <w:jc w:val="left"/>
              <w:rPr>
                <w:rFonts w:ascii="宋体" w:cs="宋体"/>
              </w:rPr>
            </w:pPr>
            <w:r>
              <w:rPr>
                <w:rFonts w:hint="eastAsia" w:ascii="宋体" w:hAnsi="宋体"/>
              </w:rPr>
              <w:t>代码</w:t>
            </w:r>
            <w:r>
              <w:rPr>
                <w:rFonts w:ascii="宋体" w:hAnsi="宋体"/>
              </w:rPr>
              <w:t>类型：</w:t>
            </w:r>
            <w:r>
              <w:rPr>
                <w:rFonts w:hint="eastAsia" w:ascii="宋体" w:hAnsi="宋体"/>
              </w:rPr>
              <w:t xml:space="preserve"> </w:t>
            </w:r>
            <w:r>
              <w:rPr>
                <w:rFonts w:ascii="宋体" w:hAnsi="宋体"/>
              </w:rPr>
              <w:sym w:font="Wingdings" w:char="F06F"/>
            </w:r>
            <w:r>
              <w:rPr>
                <w:rFonts w:ascii="宋体" w:hAnsi="宋体"/>
              </w:rPr>
              <w:t xml:space="preserve"> </w:t>
            </w:r>
            <w:r>
              <w:rPr>
                <w:rFonts w:hint="eastAsia" w:ascii="宋体" w:cs="宋体"/>
              </w:rPr>
              <w:t xml:space="preserve">统一社会信用代码    </w:t>
            </w:r>
            <w:r>
              <w:rPr>
                <w:rFonts w:ascii="宋体" w:hAnsi="宋体"/>
              </w:rPr>
              <w:sym w:font="Wingdings" w:char="F06F"/>
            </w:r>
            <w:r>
              <w:rPr>
                <w:rFonts w:ascii="宋体" w:hAnsi="宋体"/>
              </w:rPr>
              <w:t xml:space="preserve"> </w:t>
            </w:r>
            <w:r>
              <w:rPr>
                <w:rFonts w:hint="eastAsia" w:ascii="宋体" w:cs="宋体"/>
              </w:rPr>
              <w:t>组织机构</w:t>
            </w:r>
            <w:r>
              <w:rPr>
                <w:rFonts w:ascii="宋体" w:cs="宋体"/>
              </w:rPr>
              <w:t>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951" w:type="dxa"/>
            <w:vMerge w:val="continue"/>
            <w:shd w:val="clear" w:color="auto" w:fill="auto"/>
            <w:vAlign w:val="center"/>
          </w:tcPr>
          <w:p>
            <w:pPr>
              <w:spacing w:line="360" w:lineRule="auto"/>
              <w:jc w:val="center"/>
              <w:rPr>
                <w:rFonts w:ascii="宋体" w:cs="宋体"/>
              </w:rPr>
            </w:pPr>
          </w:p>
        </w:tc>
        <w:tc>
          <w:tcPr>
            <w:tcW w:w="6577" w:type="dxa"/>
            <w:gridSpan w:val="3"/>
            <w:shd w:val="clear" w:color="auto" w:fill="auto"/>
          </w:tcPr>
          <w:p>
            <w:pPr>
              <w:spacing w:line="360" w:lineRule="auto"/>
              <w:jc w:val="left"/>
              <w:rPr>
                <w:rFonts w:ascii="宋体" w:hAnsi="宋体"/>
              </w:rPr>
            </w:pPr>
            <w:r>
              <w:rPr>
                <w:rFonts w:hint="eastAsia" w:ascii="宋体" w:hAnsi="宋体"/>
              </w:rPr>
              <w:t>代码</w:t>
            </w:r>
            <w:r>
              <w:rPr>
                <w:rFonts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法人</w:t>
            </w:r>
            <w:r>
              <w:rPr>
                <w:rFonts w:ascii="宋体" w:cs="宋体"/>
              </w:rPr>
              <w:t>性质</w:t>
            </w:r>
          </w:p>
        </w:tc>
        <w:tc>
          <w:tcPr>
            <w:tcW w:w="3544" w:type="dxa"/>
            <w:shd w:val="clear" w:color="auto" w:fill="auto"/>
          </w:tcPr>
          <w:p>
            <w:pPr>
              <w:spacing w:line="360" w:lineRule="auto"/>
              <w:rPr>
                <w:rFonts w:ascii="宋体" w:cs="宋体"/>
              </w:rPr>
            </w:pPr>
          </w:p>
        </w:tc>
        <w:tc>
          <w:tcPr>
            <w:tcW w:w="1134" w:type="dxa"/>
            <w:shd w:val="clear" w:color="auto" w:fill="auto"/>
            <w:vAlign w:val="center"/>
          </w:tcPr>
          <w:p>
            <w:pPr>
              <w:spacing w:line="360" w:lineRule="auto"/>
              <w:jc w:val="center"/>
              <w:rPr>
                <w:rFonts w:ascii="宋体" w:cs="宋体"/>
              </w:rPr>
            </w:pPr>
            <w:r>
              <w:rPr>
                <w:rFonts w:hint="eastAsia" w:ascii="宋体" w:cs="宋体"/>
              </w:rPr>
              <w:t>法人代表</w:t>
            </w:r>
          </w:p>
        </w:tc>
        <w:tc>
          <w:tcPr>
            <w:tcW w:w="1899" w:type="dxa"/>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通讯地址</w:t>
            </w:r>
          </w:p>
        </w:tc>
        <w:tc>
          <w:tcPr>
            <w:tcW w:w="3544" w:type="dxa"/>
            <w:shd w:val="clear" w:color="auto" w:fill="auto"/>
          </w:tcPr>
          <w:p>
            <w:pPr>
              <w:spacing w:line="360" w:lineRule="auto"/>
              <w:rPr>
                <w:rFonts w:ascii="宋体" w:cs="宋体"/>
              </w:rPr>
            </w:pPr>
          </w:p>
        </w:tc>
        <w:tc>
          <w:tcPr>
            <w:tcW w:w="1134" w:type="dxa"/>
            <w:shd w:val="clear" w:color="auto" w:fill="auto"/>
            <w:vAlign w:val="center"/>
          </w:tcPr>
          <w:p>
            <w:pPr>
              <w:spacing w:line="360" w:lineRule="auto"/>
              <w:jc w:val="center"/>
              <w:rPr>
                <w:rFonts w:ascii="宋体" w:cs="宋体"/>
              </w:rPr>
            </w:pPr>
            <w:r>
              <w:rPr>
                <w:rFonts w:hint="eastAsia" w:ascii="宋体" w:cs="宋体"/>
              </w:rPr>
              <w:t>邮政编码</w:t>
            </w:r>
          </w:p>
        </w:tc>
        <w:tc>
          <w:tcPr>
            <w:tcW w:w="1899" w:type="dxa"/>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联 系 人</w:t>
            </w:r>
          </w:p>
        </w:tc>
        <w:tc>
          <w:tcPr>
            <w:tcW w:w="3544" w:type="dxa"/>
            <w:shd w:val="clear" w:color="auto" w:fill="auto"/>
          </w:tcPr>
          <w:p>
            <w:pPr>
              <w:spacing w:line="360" w:lineRule="auto"/>
              <w:rPr>
                <w:rFonts w:ascii="宋体" w:cs="宋体"/>
              </w:rPr>
            </w:pPr>
          </w:p>
        </w:tc>
        <w:tc>
          <w:tcPr>
            <w:tcW w:w="1134" w:type="dxa"/>
            <w:shd w:val="clear" w:color="auto" w:fill="auto"/>
            <w:vAlign w:val="center"/>
          </w:tcPr>
          <w:p>
            <w:pPr>
              <w:spacing w:line="360" w:lineRule="auto"/>
              <w:jc w:val="center"/>
              <w:rPr>
                <w:rFonts w:ascii="宋体" w:cs="宋体"/>
              </w:rPr>
            </w:pPr>
            <w:r>
              <w:rPr>
                <w:rFonts w:hint="eastAsia" w:ascii="宋体" w:cs="宋体"/>
              </w:rPr>
              <w:t>职    务</w:t>
            </w:r>
          </w:p>
        </w:tc>
        <w:tc>
          <w:tcPr>
            <w:tcW w:w="1899" w:type="dxa"/>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shd w:val="clear" w:color="auto" w:fill="auto"/>
            <w:vAlign w:val="center"/>
          </w:tcPr>
          <w:p>
            <w:pPr>
              <w:spacing w:line="360" w:lineRule="auto"/>
              <w:jc w:val="center"/>
              <w:rPr>
                <w:rFonts w:ascii="宋体" w:cs="宋体"/>
              </w:rPr>
            </w:pPr>
            <w:r>
              <w:rPr>
                <w:rFonts w:hint="eastAsia" w:ascii="宋体" w:cs="宋体"/>
              </w:rPr>
              <w:t>电    话</w:t>
            </w:r>
          </w:p>
        </w:tc>
        <w:tc>
          <w:tcPr>
            <w:tcW w:w="3544" w:type="dxa"/>
            <w:shd w:val="clear" w:color="auto" w:fill="auto"/>
          </w:tcPr>
          <w:p>
            <w:pPr>
              <w:spacing w:line="360" w:lineRule="auto"/>
              <w:rPr>
                <w:rFonts w:ascii="宋体" w:cs="宋体"/>
              </w:rPr>
            </w:pPr>
          </w:p>
        </w:tc>
        <w:tc>
          <w:tcPr>
            <w:tcW w:w="1134" w:type="dxa"/>
            <w:shd w:val="clear" w:color="auto" w:fill="auto"/>
            <w:vAlign w:val="center"/>
          </w:tcPr>
          <w:p>
            <w:pPr>
              <w:spacing w:line="360" w:lineRule="auto"/>
              <w:jc w:val="center"/>
              <w:rPr>
                <w:rFonts w:ascii="宋体" w:cs="宋体"/>
              </w:rPr>
            </w:pPr>
            <w:r>
              <w:rPr>
                <w:rFonts w:hint="eastAsia" w:ascii="宋体" w:cs="宋体"/>
              </w:rPr>
              <w:t>传    真</w:t>
            </w:r>
          </w:p>
        </w:tc>
        <w:tc>
          <w:tcPr>
            <w:tcW w:w="1899" w:type="dxa"/>
            <w:shd w:val="clear" w:color="auto" w:fill="auto"/>
          </w:tcPr>
          <w:p>
            <w:pPr>
              <w:spacing w:line="360" w:lineRule="auto"/>
              <w:rPr>
                <w:rFonts w:asci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jc w:val="center"/>
              <w:rPr>
                <w:rFonts w:ascii="宋体" w:cs="宋体"/>
              </w:rPr>
            </w:pPr>
            <w:r>
              <w:rPr>
                <w:rFonts w:hint="eastAsia" w:ascii="宋体" w:cs="宋体"/>
              </w:rPr>
              <w:t>Email</w:t>
            </w:r>
          </w:p>
        </w:tc>
        <w:tc>
          <w:tcPr>
            <w:tcW w:w="3544" w:type="dxa"/>
            <w:shd w:val="clear" w:color="auto" w:fill="auto"/>
          </w:tcPr>
          <w:p>
            <w:pPr>
              <w:spacing w:line="360" w:lineRule="auto"/>
              <w:rPr>
                <w:rFonts w:ascii="宋体" w:cs="宋体"/>
              </w:rPr>
            </w:pPr>
          </w:p>
        </w:tc>
        <w:tc>
          <w:tcPr>
            <w:tcW w:w="1134" w:type="dxa"/>
            <w:shd w:val="clear" w:color="auto" w:fill="auto"/>
            <w:vAlign w:val="center"/>
          </w:tcPr>
          <w:p>
            <w:pPr>
              <w:spacing w:line="360" w:lineRule="auto"/>
              <w:jc w:val="center"/>
              <w:rPr>
                <w:rFonts w:ascii="宋体" w:cs="宋体"/>
              </w:rPr>
            </w:pPr>
            <w:r>
              <w:rPr>
                <w:rFonts w:hint="eastAsia" w:ascii="宋体" w:cs="宋体"/>
              </w:rPr>
              <w:t>网    址</w:t>
            </w:r>
          </w:p>
        </w:tc>
        <w:tc>
          <w:tcPr>
            <w:tcW w:w="1899" w:type="dxa"/>
            <w:shd w:val="clear" w:color="auto" w:fill="auto"/>
          </w:tcPr>
          <w:p>
            <w:pPr>
              <w:spacing w:line="360" w:lineRule="auto"/>
              <w:rPr>
                <w:rFonts w:ascii="宋体" w:cs="宋体"/>
              </w:rPr>
            </w:pPr>
          </w:p>
        </w:tc>
      </w:tr>
    </w:tbl>
    <w:p>
      <w:pPr>
        <w:pStyle w:val="2"/>
        <w:numPr>
          <w:ilvl w:val="0"/>
          <w:numId w:val="3"/>
        </w:numPr>
        <w:spacing w:before="156" w:beforeLines="50" w:after="156" w:afterLines="50"/>
        <w:rPr>
          <w:rFonts w:cs="宋体"/>
          <w:sz w:val="28"/>
          <w:szCs w:val="28"/>
        </w:rPr>
      </w:pPr>
      <w:bookmarkStart w:id="2" w:name="_Toc464049494"/>
      <w:r>
        <w:rPr>
          <w:rFonts w:hint="eastAsia" w:cs="宋体"/>
          <w:sz w:val="28"/>
          <w:szCs w:val="28"/>
        </w:rPr>
        <w:t>交易平台信息</w:t>
      </w:r>
      <w:bookmarkEnd w:id="2"/>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229"/>
        <w:gridCol w:w="203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交易平台名称</w:t>
            </w:r>
          </w:p>
          <w:p>
            <w:pPr>
              <w:spacing w:line="360" w:lineRule="auto"/>
              <w:jc w:val="center"/>
              <w:rPr>
                <w:rFonts w:ascii="宋体" w:hAnsi="宋体"/>
                <w:szCs w:val="24"/>
              </w:rPr>
            </w:pPr>
            <w:r>
              <w:rPr>
                <w:rFonts w:ascii="宋体" w:hAnsi="宋体"/>
                <w:szCs w:val="24"/>
              </w:rPr>
              <w:t>（版本号）</w:t>
            </w:r>
          </w:p>
        </w:tc>
        <w:tc>
          <w:tcPr>
            <w:tcW w:w="6396" w:type="dxa"/>
            <w:gridSpan w:val="3"/>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申请级别</w:t>
            </w:r>
          </w:p>
        </w:tc>
        <w:tc>
          <w:tcPr>
            <w:tcW w:w="6396" w:type="dxa"/>
            <w:gridSpan w:val="3"/>
            <w:shd w:val="clear" w:color="auto" w:fill="auto"/>
          </w:tcPr>
          <w:p>
            <w:pPr>
              <w:spacing w:line="360" w:lineRule="auto"/>
              <w:rPr>
                <w:rFonts w:ascii="宋体" w:hAnsi="宋体"/>
                <w:szCs w:val="24"/>
              </w:rPr>
            </w:pPr>
            <w:r>
              <w:rPr>
                <w:rFonts w:ascii="宋体" w:hAnsi="宋体"/>
              </w:rPr>
              <w:sym w:font="Wingdings" w:char="F06F"/>
            </w:r>
            <w:r>
              <w:rPr>
                <w:rFonts w:ascii="宋体" w:hAnsi="宋体"/>
              </w:rPr>
              <w:t xml:space="preserve"> </w:t>
            </w:r>
            <w:r>
              <w:rPr>
                <w:rFonts w:hint="eastAsia" w:ascii="宋体" w:hAnsi="宋体" w:cs="楷体_GB2312"/>
                <w:bCs/>
              </w:rPr>
              <w:t>一星</w:t>
            </w:r>
            <w:r>
              <w:rPr>
                <w:rFonts w:ascii="宋体" w:hAnsi="宋体" w:cs="楷体_GB2312"/>
                <w:bCs/>
              </w:rPr>
              <w:t xml:space="preserve">  </w:t>
            </w:r>
            <w:r>
              <w:rPr>
                <w:rFonts w:ascii="宋体" w:hAnsi="宋体"/>
              </w:rPr>
              <w:sym w:font="Wingdings" w:char="F06F"/>
            </w:r>
            <w:r>
              <w:rPr>
                <w:rFonts w:ascii="宋体" w:hAnsi="宋体"/>
              </w:rPr>
              <w:t xml:space="preserve"> </w:t>
            </w:r>
            <w:r>
              <w:rPr>
                <w:rFonts w:hint="eastAsia" w:ascii="宋体" w:hAnsi="宋体" w:cs="楷体_GB2312"/>
                <w:bCs/>
              </w:rPr>
              <w:t xml:space="preserve">二星  </w:t>
            </w:r>
            <w:r>
              <w:rPr>
                <w:rFonts w:ascii="宋体" w:hAnsi="宋体"/>
              </w:rPr>
              <w:sym w:font="Wingdings" w:char="F06F"/>
            </w:r>
            <w:r>
              <w:rPr>
                <w:rFonts w:ascii="宋体" w:hAnsi="宋体"/>
              </w:rPr>
              <w:t xml:space="preserve"> </w:t>
            </w:r>
            <w:r>
              <w:rPr>
                <w:rFonts w:hint="eastAsia" w:ascii="宋体" w:hAnsi="宋体" w:cs="楷体_GB2312"/>
                <w:bCs/>
              </w:rPr>
              <w:t>三星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网    址</w:t>
            </w:r>
          </w:p>
        </w:tc>
        <w:tc>
          <w:tcPr>
            <w:tcW w:w="6396" w:type="dxa"/>
            <w:gridSpan w:val="3"/>
            <w:shd w:val="clear" w:color="auto" w:fill="auto"/>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交易平台</w:t>
            </w:r>
          </w:p>
          <w:p>
            <w:pPr>
              <w:spacing w:line="360" w:lineRule="auto"/>
              <w:jc w:val="center"/>
              <w:rPr>
                <w:rFonts w:ascii="宋体" w:hAnsi="宋体"/>
                <w:szCs w:val="24"/>
              </w:rPr>
            </w:pPr>
            <w:r>
              <w:rPr>
                <w:rFonts w:ascii="宋体" w:hAnsi="宋体"/>
                <w:szCs w:val="24"/>
              </w:rPr>
              <w:t>部署</w:t>
            </w:r>
            <w:r>
              <w:rPr>
                <w:rFonts w:hint="eastAsia" w:ascii="宋体" w:hAnsi="宋体"/>
                <w:szCs w:val="24"/>
              </w:rPr>
              <w:t>场所</w:t>
            </w:r>
            <w:r>
              <w:rPr>
                <w:rFonts w:ascii="宋体" w:hAnsi="宋体"/>
                <w:szCs w:val="24"/>
              </w:rPr>
              <w:t>地址</w:t>
            </w:r>
          </w:p>
        </w:tc>
        <w:tc>
          <w:tcPr>
            <w:tcW w:w="6396" w:type="dxa"/>
            <w:gridSpan w:val="3"/>
            <w:shd w:val="clear" w:color="auto" w:fill="auto"/>
          </w:tcPr>
          <w:p>
            <w:pPr>
              <w:spacing w:line="360" w:lineRule="auto"/>
              <w:rPr>
                <w:rFonts w:ascii="宋体" w:hAnsi="宋体"/>
              </w:rPr>
            </w:pPr>
            <w:r>
              <w:rPr>
                <w:rFonts w:hint="eastAsia" w:ascii="宋体" w:hAnsi="宋体"/>
              </w:rPr>
              <w:t>生产机房</w:t>
            </w:r>
            <w:r>
              <w:rPr>
                <w:rFonts w:ascii="宋体" w:hAnsi="宋体"/>
              </w:rPr>
              <w:t>：</w:t>
            </w:r>
          </w:p>
          <w:p>
            <w:pPr>
              <w:spacing w:line="360" w:lineRule="auto"/>
              <w:rPr>
                <w:rFonts w:ascii="宋体" w:hAnsi="宋体"/>
              </w:rPr>
            </w:pPr>
            <w:r>
              <w:rPr>
                <w:rFonts w:hint="eastAsia" w:ascii="宋体" w:hAnsi="宋体"/>
              </w:rPr>
              <w:t>灾备机房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运营</w:t>
            </w:r>
            <w:r>
              <w:rPr>
                <w:rFonts w:ascii="宋体" w:hAnsi="宋体"/>
                <w:szCs w:val="24"/>
              </w:rPr>
              <w:t>场所地址</w:t>
            </w:r>
          </w:p>
        </w:tc>
        <w:tc>
          <w:tcPr>
            <w:tcW w:w="6396" w:type="dxa"/>
            <w:gridSpan w:val="3"/>
            <w:shd w:val="clear" w:color="auto" w:fill="auto"/>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登记</w:t>
            </w:r>
            <w:r>
              <w:rPr>
                <w:rFonts w:ascii="宋体" w:hAnsi="宋体"/>
                <w:szCs w:val="24"/>
              </w:rPr>
              <w:t>标识代码</w:t>
            </w:r>
          </w:p>
        </w:tc>
        <w:tc>
          <w:tcPr>
            <w:tcW w:w="6396" w:type="dxa"/>
            <w:gridSpan w:val="3"/>
            <w:shd w:val="clear" w:color="auto" w:fill="auto"/>
          </w:tcPr>
          <w:p>
            <w:pPr>
              <w:spacing w:line="360" w:lineRule="auto"/>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交易平台类别</w:t>
            </w:r>
          </w:p>
        </w:tc>
        <w:tc>
          <w:tcPr>
            <w:tcW w:w="6396" w:type="dxa"/>
            <w:gridSpan w:val="3"/>
            <w:shd w:val="clear" w:color="auto" w:fill="auto"/>
          </w:tcPr>
          <w:p>
            <w:pPr>
              <w:spacing w:line="360" w:lineRule="auto"/>
              <w:rPr>
                <w:rFonts w:ascii="宋体" w:hAnsi="宋体"/>
                <w:szCs w:val="24"/>
              </w:rPr>
            </w:pPr>
            <w:r>
              <w:rPr>
                <w:rFonts w:ascii="宋体" w:hAnsi="宋体"/>
                <w:szCs w:val="24"/>
              </w:rPr>
              <w:sym w:font="Wingdings" w:char="F06F"/>
            </w:r>
            <w:r>
              <w:rPr>
                <w:rFonts w:hint="eastAsia" w:ascii="宋体" w:hAnsi="宋体"/>
                <w:szCs w:val="24"/>
              </w:rPr>
              <w:t xml:space="preserve"> 中央企业所属</w:t>
            </w:r>
            <w:r>
              <w:rPr>
                <w:rFonts w:ascii="宋体" w:hAnsi="宋体"/>
                <w:szCs w:val="24"/>
              </w:rPr>
              <w:t>交易</w:t>
            </w:r>
            <w:r>
              <w:rPr>
                <w:rFonts w:hint="eastAsia" w:ascii="宋体" w:hAnsi="宋体"/>
                <w:szCs w:val="24"/>
              </w:rPr>
              <w:t>平台</w:t>
            </w:r>
          </w:p>
          <w:p>
            <w:pPr>
              <w:spacing w:line="360" w:lineRule="auto"/>
              <w:rPr>
                <w:rFonts w:ascii="宋体" w:hAnsi="宋体"/>
                <w:szCs w:val="24"/>
              </w:rPr>
            </w:pPr>
            <w:r>
              <w:rPr>
                <w:rFonts w:ascii="宋体" w:hAnsi="宋体"/>
                <w:szCs w:val="24"/>
              </w:rPr>
              <w:sym w:font="Wingdings" w:char="F06F"/>
            </w:r>
            <w:r>
              <w:rPr>
                <w:rFonts w:hint="eastAsia" w:ascii="宋体" w:hAnsi="宋体"/>
                <w:szCs w:val="24"/>
              </w:rPr>
              <w:t xml:space="preserve"> 交易中心（</w:t>
            </w:r>
            <w:r>
              <w:rPr>
                <w:rFonts w:ascii="宋体" w:hAnsi="宋体"/>
                <w:szCs w:val="24"/>
              </w:rPr>
              <w:sym w:font="Wingdings" w:char="F06F"/>
            </w:r>
            <w:r>
              <w:rPr>
                <w:rFonts w:ascii="宋体" w:hAnsi="宋体"/>
                <w:szCs w:val="24"/>
              </w:rPr>
              <w:t xml:space="preserve"> 建设工程交易</w:t>
            </w:r>
            <w:r>
              <w:rPr>
                <w:rFonts w:hint="eastAsia" w:ascii="宋体" w:hAnsi="宋体"/>
                <w:szCs w:val="24"/>
              </w:rPr>
              <w:t xml:space="preserve">中心 </w:t>
            </w:r>
            <w:r>
              <w:rPr>
                <w:rFonts w:ascii="宋体" w:hAnsi="宋体"/>
                <w:szCs w:val="24"/>
              </w:rPr>
              <w:t xml:space="preserve">    </w:t>
            </w:r>
            <w:r>
              <w:rPr>
                <w:rFonts w:ascii="宋体" w:hAnsi="宋体"/>
                <w:szCs w:val="24"/>
              </w:rPr>
              <w:sym w:font="Wingdings" w:char="F06F"/>
            </w:r>
            <w:r>
              <w:rPr>
                <w:rFonts w:ascii="宋体" w:hAnsi="宋体"/>
                <w:szCs w:val="24"/>
              </w:rPr>
              <w:t xml:space="preserve"> </w:t>
            </w:r>
            <w:r>
              <w:rPr>
                <w:rFonts w:hint="eastAsia" w:ascii="宋体" w:hAnsi="宋体"/>
                <w:szCs w:val="24"/>
              </w:rPr>
              <w:t>公共资源交易中心</w:t>
            </w:r>
            <w:r>
              <w:rPr>
                <w:rFonts w:ascii="宋体" w:hAnsi="宋体"/>
                <w:szCs w:val="24"/>
              </w:rPr>
              <w:t>）</w:t>
            </w:r>
          </w:p>
          <w:p>
            <w:pPr>
              <w:spacing w:line="360" w:lineRule="auto"/>
              <w:rPr>
                <w:rFonts w:ascii="宋体" w:hAnsi="宋体"/>
                <w:szCs w:val="24"/>
              </w:rPr>
            </w:pPr>
            <w:r>
              <w:rPr>
                <w:rFonts w:ascii="宋体" w:hAnsi="宋体"/>
                <w:szCs w:val="24"/>
              </w:rPr>
              <w:sym w:font="Wingdings" w:char="F06F"/>
            </w:r>
            <w:r>
              <w:rPr>
                <w:rFonts w:hint="eastAsia" w:ascii="宋体" w:hAnsi="宋体"/>
                <w:szCs w:val="24"/>
              </w:rPr>
              <w:t xml:space="preserve"> 招标代理机构和第三方</w:t>
            </w:r>
            <w:r>
              <w:rPr>
                <w:rFonts w:ascii="宋体" w:hAnsi="宋体"/>
                <w:szCs w:val="24"/>
              </w:rPr>
              <w:t>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聘用</w:t>
            </w:r>
            <w:r>
              <w:rPr>
                <w:rFonts w:ascii="宋体" w:hAnsi="宋体"/>
                <w:szCs w:val="24"/>
              </w:rPr>
              <w:t>员工总人数</w:t>
            </w:r>
          </w:p>
        </w:tc>
        <w:tc>
          <w:tcPr>
            <w:tcW w:w="2229" w:type="dxa"/>
            <w:shd w:val="clear" w:color="auto" w:fill="auto"/>
          </w:tcPr>
          <w:p>
            <w:pPr>
              <w:spacing w:line="360" w:lineRule="auto"/>
              <w:rPr>
                <w:rFonts w:ascii="宋体" w:hAnsi="宋体"/>
                <w:szCs w:val="24"/>
              </w:rPr>
            </w:pPr>
          </w:p>
        </w:tc>
        <w:tc>
          <w:tcPr>
            <w:tcW w:w="2035" w:type="dxa"/>
            <w:shd w:val="clear" w:color="auto" w:fill="auto"/>
            <w:vAlign w:val="center"/>
          </w:tcPr>
          <w:p>
            <w:pPr>
              <w:spacing w:line="360" w:lineRule="auto"/>
              <w:jc w:val="center"/>
              <w:rPr>
                <w:rFonts w:ascii="宋体" w:hAnsi="宋体"/>
                <w:szCs w:val="24"/>
              </w:rPr>
            </w:pPr>
            <w:r>
              <w:rPr>
                <w:rFonts w:hint="eastAsia" w:ascii="宋体" w:hAnsi="宋体"/>
                <w:szCs w:val="24"/>
              </w:rPr>
              <w:t>系统</w:t>
            </w:r>
            <w:r>
              <w:rPr>
                <w:rFonts w:ascii="宋体" w:hAnsi="宋体"/>
                <w:szCs w:val="24"/>
              </w:rPr>
              <w:t>运营涉及人数</w:t>
            </w:r>
          </w:p>
        </w:tc>
        <w:tc>
          <w:tcPr>
            <w:tcW w:w="2132" w:type="dxa"/>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交易平台</w:t>
            </w:r>
            <w:r>
              <w:rPr>
                <w:rFonts w:ascii="宋体" w:hAnsi="宋体"/>
                <w:szCs w:val="24"/>
              </w:rPr>
              <w:t>上线时间</w:t>
            </w:r>
          </w:p>
        </w:tc>
        <w:tc>
          <w:tcPr>
            <w:tcW w:w="2229" w:type="dxa"/>
            <w:shd w:val="clear" w:color="auto" w:fill="auto"/>
          </w:tcPr>
          <w:p>
            <w:pPr>
              <w:spacing w:line="360" w:lineRule="auto"/>
              <w:rPr>
                <w:rFonts w:ascii="宋体" w:hAnsi="宋体"/>
                <w:szCs w:val="24"/>
              </w:rPr>
            </w:pPr>
          </w:p>
        </w:tc>
        <w:tc>
          <w:tcPr>
            <w:tcW w:w="2035" w:type="dxa"/>
            <w:shd w:val="clear" w:color="auto" w:fill="auto"/>
            <w:vAlign w:val="center"/>
          </w:tcPr>
          <w:p>
            <w:pPr>
              <w:spacing w:line="360" w:lineRule="auto"/>
              <w:jc w:val="center"/>
              <w:rPr>
                <w:rFonts w:ascii="宋体" w:hAnsi="宋体"/>
                <w:szCs w:val="24"/>
              </w:rPr>
            </w:pPr>
            <w:r>
              <w:rPr>
                <w:rFonts w:hint="eastAsia" w:ascii="宋体" w:hAnsi="宋体"/>
                <w:szCs w:val="24"/>
              </w:rPr>
              <w:t>在线运行</w:t>
            </w:r>
            <w:r>
              <w:rPr>
                <w:rFonts w:ascii="宋体" w:hAnsi="宋体"/>
                <w:szCs w:val="24"/>
              </w:rPr>
              <w:t>项目数</w:t>
            </w:r>
          </w:p>
        </w:tc>
        <w:tc>
          <w:tcPr>
            <w:tcW w:w="2132" w:type="dxa"/>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在线</w:t>
            </w:r>
            <w:r>
              <w:rPr>
                <w:rFonts w:ascii="宋体" w:hAnsi="宋体"/>
                <w:szCs w:val="24"/>
              </w:rPr>
              <w:t>招标投标项目</w:t>
            </w:r>
          </w:p>
          <w:p>
            <w:pPr>
              <w:spacing w:line="360" w:lineRule="auto"/>
              <w:jc w:val="center"/>
              <w:rPr>
                <w:rFonts w:ascii="宋体" w:hAnsi="宋体"/>
                <w:szCs w:val="24"/>
              </w:rPr>
            </w:pPr>
            <w:r>
              <w:rPr>
                <w:rFonts w:ascii="宋体" w:hAnsi="宋体"/>
                <w:szCs w:val="24"/>
              </w:rPr>
              <w:t>涉及领域</w:t>
            </w:r>
          </w:p>
        </w:tc>
        <w:tc>
          <w:tcPr>
            <w:tcW w:w="6396" w:type="dxa"/>
            <w:gridSpan w:val="3"/>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ascii="宋体" w:hAnsi="宋体"/>
                <w:szCs w:val="24"/>
              </w:rPr>
              <w:t>建设单位</w:t>
            </w:r>
          </w:p>
        </w:tc>
        <w:tc>
          <w:tcPr>
            <w:tcW w:w="6396" w:type="dxa"/>
            <w:gridSpan w:val="3"/>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相关负责人</w:t>
            </w:r>
          </w:p>
        </w:tc>
        <w:tc>
          <w:tcPr>
            <w:tcW w:w="2229" w:type="dxa"/>
            <w:shd w:val="clear" w:color="auto" w:fill="auto"/>
          </w:tcPr>
          <w:p>
            <w:pPr>
              <w:spacing w:line="360" w:lineRule="auto"/>
              <w:rPr>
                <w:rFonts w:ascii="宋体" w:hAnsi="宋体"/>
                <w:szCs w:val="24"/>
              </w:rPr>
            </w:pPr>
          </w:p>
        </w:tc>
        <w:tc>
          <w:tcPr>
            <w:tcW w:w="2035" w:type="dxa"/>
            <w:shd w:val="clear" w:color="auto" w:fill="auto"/>
            <w:vAlign w:val="center"/>
          </w:tcPr>
          <w:p>
            <w:pPr>
              <w:spacing w:line="360" w:lineRule="auto"/>
              <w:jc w:val="center"/>
              <w:rPr>
                <w:rFonts w:ascii="宋体" w:hAnsi="宋体"/>
                <w:szCs w:val="24"/>
              </w:rPr>
            </w:pPr>
            <w:r>
              <w:rPr>
                <w:rFonts w:hint="eastAsia" w:ascii="宋体" w:hAnsi="宋体"/>
                <w:szCs w:val="24"/>
              </w:rPr>
              <w:t>电   话</w:t>
            </w:r>
          </w:p>
        </w:tc>
        <w:tc>
          <w:tcPr>
            <w:tcW w:w="2132" w:type="dxa"/>
            <w:shd w:val="clear" w:color="auto" w:fill="auto"/>
          </w:tcPr>
          <w:p>
            <w:pPr>
              <w:spacing w:line="360" w:lineRule="auto"/>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shd w:val="clear" w:color="auto" w:fill="auto"/>
            <w:vAlign w:val="center"/>
          </w:tcPr>
          <w:p>
            <w:pPr>
              <w:spacing w:line="360" w:lineRule="auto"/>
              <w:jc w:val="center"/>
              <w:rPr>
                <w:rFonts w:ascii="宋体" w:hAnsi="宋体"/>
                <w:szCs w:val="24"/>
              </w:rPr>
            </w:pPr>
            <w:r>
              <w:rPr>
                <w:rFonts w:hint="eastAsia" w:ascii="宋体" w:hAnsi="宋体"/>
                <w:szCs w:val="24"/>
              </w:rPr>
              <w:t>外包</w:t>
            </w:r>
            <w:r>
              <w:rPr>
                <w:rFonts w:ascii="宋体" w:hAnsi="宋体"/>
                <w:szCs w:val="24"/>
              </w:rPr>
              <w:t>情况说明</w:t>
            </w:r>
          </w:p>
        </w:tc>
        <w:tc>
          <w:tcPr>
            <w:tcW w:w="6396" w:type="dxa"/>
            <w:gridSpan w:val="3"/>
            <w:shd w:val="clear" w:color="auto" w:fill="auto"/>
          </w:tcPr>
          <w:p>
            <w:pPr>
              <w:spacing w:line="360" w:lineRule="auto"/>
              <w:rPr>
                <w:rFonts w:ascii="宋体" w:hAnsi="宋体"/>
                <w:szCs w:val="24"/>
              </w:rPr>
            </w:pPr>
          </w:p>
        </w:tc>
      </w:tr>
    </w:tbl>
    <w:p>
      <w:pPr>
        <w:pStyle w:val="2"/>
        <w:numPr>
          <w:ilvl w:val="0"/>
          <w:numId w:val="3"/>
        </w:numPr>
        <w:spacing w:before="156" w:beforeLines="50" w:after="156" w:afterLines="50"/>
        <w:rPr>
          <w:rFonts w:cs="宋体"/>
          <w:sz w:val="28"/>
          <w:szCs w:val="28"/>
        </w:rPr>
      </w:pPr>
      <w:bookmarkStart w:id="3" w:name="_Toc464049495"/>
      <w:r>
        <w:rPr>
          <w:rFonts w:hint="eastAsia" w:cs="宋体"/>
          <w:sz w:val="28"/>
          <w:szCs w:val="28"/>
        </w:rPr>
        <w:t>意向检测机构</w:t>
      </w:r>
    </w:p>
    <w:tbl>
      <w:tblPr>
        <w:tblStyle w:val="25"/>
        <w:tblW w:w="5000" w:type="pct"/>
        <w:tblInd w:w="0" w:type="dxa"/>
        <w:tblLayout w:type="autofit"/>
        <w:tblCellMar>
          <w:top w:w="0" w:type="dxa"/>
          <w:left w:w="108" w:type="dxa"/>
          <w:bottom w:w="0" w:type="dxa"/>
          <w:right w:w="108" w:type="dxa"/>
        </w:tblCellMar>
      </w:tblPr>
      <w:tblGrid>
        <w:gridCol w:w="1527"/>
        <w:gridCol w:w="2137"/>
        <w:gridCol w:w="2541"/>
        <w:gridCol w:w="2323"/>
      </w:tblGrid>
      <w:tr>
        <w:tblPrEx>
          <w:tblCellMar>
            <w:top w:w="0" w:type="dxa"/>
            <w:left w:w="108" w:type="dxa"/>
            <w:bottom w:w="0" w:type="dxa"/>
            <w:right w:w="108" w:type="dxa"/>
          </w:tblCellMar>
        </w:tblPrEx>
        <w:trPr>
          <w:trHeight w:val="590" w:hRule="atLeast"/>
        </w:trPr>
        <w:tc>
          <w:tcPr>
            <w:tcW w:w="895" w:type="pct"/>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kern w:val="0"/>
              </w:rPr>
            </w:pPr>
            <w:r>
              <w:rPr>
                <w:rFonts w:hint="eastAsia" w:ascii="宋体" w:hAnsi="宋体" w:cs="宋体"/>
                <w:kern w:val="0"/>
              </w:rPr>
              <w:t>意向选择</w:t>
            </w:r>
          </w:p>
        </w:tc>
        <w:tc>
          <w:tcPr>
            <w:tcW w:w="1253" w:type="pct"/>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kern w:val="0"/>
              </w:rPr>
            </w:pPr>
            <w:r>
              <w:rPr>
                <w:rFonts w:hint="eastAsia" w:ascii="宋体" w:hAnsi="宋体" w:cs="宋体"/>
                <w:kern w:val="0"/>
              </w:rPr>
              <w:t>检测</w:t>
            </w:r>
            <w:r>
              <w:rPr>
                <w:rFonts w:ascii="宋体" w:hAnsi="宋体" w:cs="宋体"/>
                <w:kern w:val="0"/>
              </w:rPr>
              <w:t>机构名称</w:t>
            </w:r>
          </w:p>
        </w:tc>
        <w:tc>
          <w:tcPr>
            <w:tcW w:w="1490" w:type="pct"/>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kern w:val="0"/>
              </w:rPr>
            </w:pPr>
            <w:r>
              <w:rPr>
                <w:rFonts w:hint="eastAsia" w:ascii="宋体" w:hAnsi="宋体" w:cs="宋体"/>
                <w:kern w:val="0"/>
              </w:rPr>
              <w:t>检测</w:t>
            </w:r>
            <w:r>
              <w:rPr>
                <w:rFonts w:ascii="宋体" w:hAnsi="宋体" w:cs="宋体"/>
                <w:kern w:val="0"/>
              </w:rPr>
              <w:t>机构地址</w:t>
            </w:r>
          </w:p>
        </w:tc>
        <w:tc>
          <w:tcPr>
            <w:tcW w:w="1362" w:type="pct"/>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kern w:val="0"/>
              </w:rPr>
            </w:pPr>
            <w:r>
              <w:rPr>
                <w:rFonts w:hint="eastAsia" w:ascii="宋体" w:hAnsi="宋体" w:cs="宋体"/>
                <w:kern w:val="0"/>
              </w:rPr>
              <w:t>检测</w:t>
            </w:r>
            <w:r>
              <w:rPr>
                <w:rFonts w:ascii="宋体" w:hAnsi="宋体" w:cs="宋体"/>
                <w:kern w:val="0"/>
              </w:rPr>
              <w:t>机构网站</w:t>
            </w:r>
          </w:p>
        </w:tc>
      </w:tr>
      <w:tr>
        <w:tblPrEx>
          <w:tblCellMar>
            <w:top w:w="0" w:type="dxa"/>
            <w:left w:w="108" w:type="dxa"/>
            <w:bottom w:w="0" w:type="dxa"/>
            <w:right w:w="108" w:type="dxa"/>
          </w:tblCellMar>
        </w:tblPrEx>
        <w:trPr>
          <w:trHeight w:val="960" w:hRule="atLeast"/>
        </w:trPr>
        <w:tc>
          <w:tcPr>
            <w:tcW w:w="895"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国家信息安全产品质量监督检验中心</w:t>
            </w:r>
          </w:p>
        </w:tc>
        <w:tc>
          <w:tcPr>
            <w:tcW w:w="149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北京市朝阳区朝外大街甲10号中认大厦17层</w:t>
            </w:r>
          </w:p>
        </w:tc>
        <w:tc>
          <w:tcPr>
            <w:tcW w:w="13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"http://www.isccc.gov.cn" </w:instrText>
            </w:r>
            <w:r>
              <w:fldChar w:fldCharType="separate"/>
            </w:r>
            <w:r>
              <w:rPr>
                <w:rFonts w:hint="eastAsia"/>
              </w:rPr>
              <w:t>www.isccc.gov.cn</w:t>
            </w:r>
            <w:r>
              <w:rPr>
                <w:rFonts w:hint="eastAsia"/>
              </w:rPr>
              <w:fldChar w:fldCharType="end"/>
            </w:r>
          </w:p>
        </w:tc>
      </w:tr>
      <w:tr>
        <w:tblPrEx>
          <w:tblCellMar>
            <w:top w:w="0" w:type="dxa"/>
            <w:left w:w="108" w:type="dxa"/>
            <w:bottom w:w="0" w:type="dxa"/>
            <w:right w:w="108" w:type="dxa"/>
          </w:tblCellMar>
        </w:tblPrEx>
        <w:trPr>
          <w:trHeight w:val="792"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北京中科卓信软件测评技术中心</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北京市海淀区知春路23号1418</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"http://www.stchina.com.cn/" </w:instrText>
            </w:r>
            <w:r>
              <w:fldChar w:fldCharType="separate"/>
            </w:r>
            <w:r>
              <w:rPr>
                <w:rFonts w:hint="eastAsia" w:ascii="宋体" w:hAnsi="宋体" w:cs="宋体"/>
                <w:kern w:val="0"/>
              </w:rPr>
              <w:t>www.stchina.com.cn</w:t>
            </w:r>
            <w:r>
              <w:rPr>
                <w:rFonts w:hint="eastAsia" w:ascii="宋体" w:hAnsi="宋体" w:cs="宋体"/>
                <w:kern w:val="0"/>
              </w:rPr>
              <w:fldChar w:fldCharType="end"/>
            </w:r>
          </w:p>
        </w:tc>
      </w:tr>
      <w:tr>
        <w:tblPrEx>
          <w:tblCellMar>
            <w:top w:w="0" w:type="dxa"/>
            <w:left w:w="108" w:type="dxa"/>
            <w:bottom w:w="0" w:type="dxa"/>
            <w:right w:w="108" w:type="dxa"/>
          </w:tblCellMar>
        </w:tblPrEx>
        <w:trPr>
          <w:trHeight w:val="792"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中国电力科学研究院信息通信所</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北京市海淀区清河小营东路15号</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"http://www.epri.sgcc.com.cn/" </w:instrText>
            </w:r>
            <w:r>
              <w:fldChar w:fldCharType="separate"/>
            </w:r>
            <w:r>
              <w:rPr>
                <w:rFonts w:hint="eastAsia" w:ascii="宋体" w:hAnsi="宋体" w:cs="宋体"/>
                <w:kern w:val="0"/>
              </w:rPr>
              <w:t>www.epri.sgcc.com.cn</w:t>
            </w:r>
            <w:r>
              <w:rPr>
                <w:rFonts w:hint="eastAsia" w:ascii="宋体" w:hAnsi="宋体" w:cs="宋体"/>
                <w:kern w:val="0"/>
              </w:rPr>
              <w:fldChar w:fldCharType="end"/>
            </w:r>
          </w:p>
        </w:tc>
      </w:tr>
      <w:tr>
        <w:tblPrEx>
          <w:tblCellMar>
            <w:top w:w="0" w:type="dxa"/>
            <w:left w:w="108" w:type="dxa"/>
            <w:bottom w:w="0" w:type="dxa"/>
            <w:right w:w="108" w:type="dxa"/>
          </w:tblCellMar>
        </w:tblPrEx>
        <w:trPr>
          <w:trHeight w:val="792"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中金金融认证中心有限公司</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北京市西城区菜市口南大街平原里20号楼1-7、1-9、1-10</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"http://www.cfca.com.cn/" </w:instrText>
            </w:r>
            <w:r>
              <w:fldChar w:fldCharType="separate"/>
            </w:r>
            <w:r>
              <w:rPr>
                <w:rFonts w:hint="eastAsia" w:ascii="宋体" w:hAnsi="宋体" w:cs="宋体"/>
                <w:kern w:val="0"/>
              </w:rPr>
              <w:t>www.cfca.com.cn</w:t>
            </w:r>
            <w:r>
              <w:rPr>
                <w:rFonts w:hint="eastAsia" w:ascii="宋体" w:hAnsi="宋体" w:cs="宋体"/>
                <w:kern w:val="0"/>
              </w:rPr>
              <w:fldChar w:fldCharType="end"/>
            </w:r>
          </w:p>
        </w:tc>
      </w:tr>
      <w:tr>
        <w:tblPrEx>
          <w:tblCellMar>
            <w:top w:w="0" w:type="dxa"/>
            <w:left w:w="108" w:type="dxa"/>
            <w:bottom w:w="0" w:type="dxa"/>
            <w:right w:w="108" w:type="dxa"/>
          </w:tblCellMar>
        </w:tblPrEx>
        <w:trPr>
          <w:trHeight w:val="1056"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四川省软件和信息系统工程测评中心/四川省电子产品监督检验所</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四川省成都市龙泉驿区文明东街45号</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"http://www.cepreisc.org/" </w:instrText>
            </w:r>
            <w:r>
              <w:fldChar w:fldCharType="separate"/>
            </w:r>
            <w:r>
              <w:rPr>
                <w:rFonts w:hint="eastAsia" w:ascii="宋体" w:hAnsi="宋体" w:cs="宋体"/>
                <w:kern w:val="0"/>
              </w:rPr>
              <w:t>www.cepreisc.org</w:t>
            </w:r>
            <w:r>
              <w:rPr>
                <w:rFonts w:hint="eastAsia" w:ascii="宋体" w:hAnsi="宋体" w:cs="宋体"/>
                <w:kern w:val="0"/>
              </w:rPr>
              <w:fldChar w:fldCharType="end"/>
            </w:r>
          </w:p>
        </w:tc>
      </w:tr>
      <w:tr>
        <w:tblPrEx>
          <w:tblCellMar>
            <w:top w:w="0" w:type="dxa"/>
            <w:left w:w="108" w:type="dxa"/>
            <w:bottom w:w="0" w:type="dxa"/>
            <w:right w:w="108" w:type="dxa"/>
          </w:tblCellMar>
        </w:tblPrEx>
        <w:trPr>
          <w:trHeight w:val="1440"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江苏省电子信息产品质量监督检验研究院（江苏省信息安全测评中心）</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江苏省无锡市金水路100号</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"http://www.jnlab.com/" </w:instrText>
            </w:r>
            <w:r>
              <w:fldChar w:fldCharType="separate"/>
            </w:r>
            <w:r>
              <w:rPr>
                <w:rFonts w:hint="eastAsia" w:ascii="宋体" w:hAnsi="宋体" w:cs="宋体"/>
                <w:kern w:val="0"/>
              </w:rPr>
              <w:t>www.jnlab.com</w:t>
            </w:r>
            <w:r>
              <w:rPr>
                <w:rFonts w:hint="eastAsia" w:ascii="宋体" w:hAnsi="宋体" w:cs="宋体"/>
                <w:kern w:val="0"/>
              </w:rPr>
              <w:fldChar w:fldCharType="end"/>
            </w:r>
          </w:p>
        </w:tc>
      </w:tr>
      <w:tr>
        <w:tblPrEx>
          <w:tblCellMar>
            <w:top w:w="0" w:type="dxa"/>
            <w:left w:w="108" w:type="dxa"/>
            <w:bottom w:w="0" w:type="dxa"/>
            <w:right w:w="108" w:type="dxa"/>
          </w:tblCellMar>
        </w:tblPrEx>
        <w:trPr>
          <w:trHeight w:val="792"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航天中认软件测评科技（北京）有限责任公司</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北京市海淀区车公庄西路乙19号华通大厦B座北塔16层</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"http://www.sqa-bj.com/" </w:instrText>
            </w:r>
            <w:r>
              <w:fldChar w:fldCharType="separate"/>
            </w:r>
            <w:r>
              <w:rPr>
                <w:rFonts w:hint="eastAsia" w:ascii="宋体" w:hAnsi="宋体" w:cs="宋体"/>
                <w:kern w:val="0"/>
              </w:rPr>
              <w:t>www.sqa-bj.com</w:t>
            </w:r>
            <w:r>
              <w:rPr>
                <w:rFonts w:hint="eastAsia" w:ascii="宋体" w:hAnsi="宋体" w:cs="宋体"/>
                <w:kern w:val="0"/>
              </w:rPr>
              <w:fldChar w:fldCharType="end"/>
            </w:r>
          </w:p>
        </w:tc>
      </w:tr>
      <w:tr>
        <w:tblPrEx>
          <w:tblCellMar>
            <w:top w:w="0" w:type="dxa"/>
            <w:left w:w="108" w:type="dxa"/>
            <w:bottom w:w="0" w:type="dxa"/>
            <w:right w:w="108" w:type="dxa"/>
          </w:tblCellMar>
        </w:tblPrEx>
        <w:trPr>
          <w:trHeight w:val="960"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工业和信息化部电子第五研究所(中国赛宝实验室)</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广东省广州市天河区东莞庄路110号</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"http://www.ceprei.com/" </w:instrText>
            </w:r>
            <w:r>
              <w:fldChar w:fldCharType="separate"/>
            </w:r>
            <w:r>
              <w:rPr>
                <w:rFonts w:hint="eastAsia" w:ascii="宋体" w:hAnsi="宋体" w:cs="宋体"/>
                <w:kern w:val="0"/>
              </w:rPr>
              <w:t>www.ceprei.com</w:t>
            </w:r>
            <w:r>
              <w:rPr>
                <w:rFonts w:hint="eastAsia" w:ascii="宋体" w:hAnsi="宋体" w:cs="宋体"/>
                <w:kern w:val="0"/>
              </w:rPr>
              <w:fldChar w:fldCharType="end"/>
            </w:r>
          </w:p>
        </w:tc>
      </w:tr>
      <w:tr>
        <w:tblPrEx>
          <w:tblCellMar>
            <w:top w:w="0" w:type="dxa"/>
            <w:left w:w="108" w:type="dxa"/>
            <w:bottom w:w="0" w:type="dxa"/>
            <w:right w:w="108" w:type="dxa"/>
          </w:tblCellMar>
        </w:tblPrEx>
        <w:trPr>
          <w:trHeight w:val="960"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中国软件评测中心</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北京市海淀区紫竹院路66号赛迪大厦</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"http://www.cstc.org.cn/" </w:instrText>
            </w:r>
            <w:r>
              <w:fldChar w:fldCharType="separate"/>
            </w:r>
            <w:r>
              <w:rPr>
                <w:rFonts w:hint="eastAsia" w:ascii="宋体" w:hAnsi="宋体" w:cs="宋体"/>
                <w:kern w:val="0"/>
              </w:rPr>
              <w:t>www.cstc.org.cn</w:t>
            </w:r>
            <w:r>
              <w:rPr>
                <w:rFonts w:hint="eastAsia" w:ascii="宋体" w:hAnsi="宋体" w:cs="宋体"/>
                <w:kern w:val="0"/>
              </w:rPr>
              <w:fldChar w:fldCharType="end"/>
            </w:r>
          </w:p>
        </w:tc>
      </w:tr>
      <w:tr>
        <w:tblPrEx>
          <w:tblCellMar>
            <w:top w:w="0" w:type="dxa"/>
            <w:left w:w="108" w:type="dxa"/>
            <w:bottom w:w="0" w:type="dxa"/>
            <w:right w:w="108" w:type="dxa"/>
          </w:tblCellMar>
        </w:tblPrEx>
        <w:trPr>
          <w:trHeight w:val="792" w:hRule="atLeast"/>
        </w:trPr>
        <w:tc>
          <w:tcPr>
            <w:tcW w:w="895" w:type="pc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sz w:val="32"/>
              </w:rPr>
              <w:sym w:font="Wingdings 2" w:char="F0A3"/>
            </w:r>
          </w:p>
        </w:tc>
        <w:tc>
          <w:tcPr>
            <w:tcW w:w="1253"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中国电子技术标准化研究院赛西实验室</w:t>
            </w:r>
          </w:p>
        </w:tc>
        <w:tc>
          <w:tcPr>
            <w:tcW w:w="149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rPr>
                <w:rFonts w:hint="eastAsia" w:ascii="宋体" w:hAnsi="宋体" w:cs="宋体"/>
                <w:kern w:val="0"/>
              </w:rPr>
              <w:t>北京市东城区安定门东大街1号</w:t>
            </w:r>
          </w:p>
        </w:tc>
        <w:tc>
          <w:tcPr>
            <w:tcW w:w="1362"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rPr>
            </w:pPr>
            <w:r>
              <w:fldChar w:fldCharType="begin"/>
            </w:r>
            <w:r>
              <w:instrText xml:space="preserve"> HYPERLINK "http://www.cesi.ac.cn/" </w:instrText>
            </w:r>
            <w:r>
              <w:fldChar w:fldCharType="separate"/>
            </w:r>
            <w:r>
              <w:rPr>
                <w:rFonts w:hint="eastAsia" w:ascii="宋体" w:hAnsi="宋体" w:cs="宋体"/>
                <w:kern w:val="0"/>
              </w:rPr>
              <w:t>www.cesi.ac.cn</w:t>
            </w:r>
            <w:r>
              <w:rPr>
                <w:rFonts w:hint="eastAsia" w:ascii="宋体" w:hAnsi="宋体" w:cs="宋体"/>
                <w:kern w:val="0"/>
              </w:rPr>
              <w:fldChar w:fldCharType="end"/>
            </w:r>
          </w:p>
        </w:tc>
      </w:tr>
    </w:tbl>
    <w:p>
      <w:r>
        <w:rPr>
          <w:rFonts w:hint="eastAsia"/>
        </w:rPr>
        <w:t>注</w:t>
      </w:r>
      <w:r>
        <w:t>：检测阶段</w:t>
      </w:r>
      <w:r>
        <w:rPr>
          <w:rFonts w:hint="eastAsia"/>
        </w:rPr>
        <w:t>中</w:t>
      </w:r>
      <w:r>
        <w:t>，</w:t>
      </w:r>
      <w:r>
        <w:rPr>
          <w:rFonts w:hint="eastAsia"/>
        </w:rPr>
        <w:t>运营</w:t>
      </w:r>
      <w:r>
        <w:t>机构</w:t>
      </w:r>
      <w:r>
        <w:rPr>
          <w:rFonts w:hint="eastAsia"/>
        </w:rPr>
        <w:t>应</w:t>
      </w:r>
      <w:r>
        <w:t>向</w:t>
      </w:r>
      <w:r>
        <w:rPr>
          <w:rFonts w:hint="eastAsia"/>
        </w:rPr>
        <w:t>检测</w:t>
      </w:r>
      <w:r>
        <w:t>机构提供进一步信息</w:t>
      </w:r>
      <w:r>
        <w:rPr>
          <w:rFonts w:hint="eastAsia"/>
        </w:rPr>
        <w:t>以</w:t>
      </w:r>
      <w:r>
        <w:t>支持检测工作。</w:t>
      </w:r>
    </w:p>
    <w:p/>
    <w:p/>
    <w:p>
      <w:pPr>
        <w:pStyle w:val="2"/>
        <w:numPr>
          <w:ilvl w:val="0"/>
          <w:numId w:val="3"/>
        </w:numPr>
        <w:spacing w:before="156" w:beforeLines="50" w:after="156" w:afterLines="50"/>
        <w:rPr>
          <w:rFonts w:cs="宋体"/>
          <w:sz w:val="28"/>
          <w:szCs w:val="28"/>
        </w:rPr>
      </w:pPr>
      <w:r>
        <w:rPr>
          <w:rFonts w:hint="eastAsia" w:cs="宋体"/>
          <w:sz w:val="28"/>
          <w:szCs w:val="28"/>
        </w:rPr>
        <w:t>附件</w:t>
      </w:r>
      <w:bookmarkEnd w:id="3"/>
    </w:p>
    <w:p>
      <w:pPr>
        <w:pStyle w:val="45"/>
        <w:spacing w:line="360" w:lineRule="auto"/>
        <w:ind w:left="708" w:hanging="707" w:hangingChars="337"/>
      </w:pPr>
      <w:r>
        <w:rPr>
          <w:rFonts w:hint="eastAsia"/>
        </w:rPr>
        <w:t>附件1：认证</w:t>
      </w:r>
      <w:r>
        <w:rPr>
          <w:rFonts w:hint="eastAsia" w:hAnsi="宋体"/>
          <w:szCs w:val="21"/>
        </w:rPr>
        <w:t>委托人</w:t>
      </w:r>
      <w:r>
        <w:t>（运营机构）</w:t>
      </w:r>
      <w:r>
        <w:rPr>
          <w:rFonts w:hint="eastAsia"/>
        </w:rPr>
        <w:t>资质</w:t>
      </w:r>
      <w:r>
        <w:t>复印件：营业执照</w:t>
      </w:r>
      <w:r>
        <w:rPr>
          <w:rFonts w:hint="eastAsia"/>
        </w:rPr>
        <w:t>/</w:t>
      </w:r>
      <w:r>
        <w:t>事业单位法人证书</w:t>
      </w:r>
      <w:r>
        <w:rPr>
          <w:rFonts w:hint="eastAsia"/>
        </w:rPr>
        <w:t>、组织机构</w:t>
      </w:r>
      <w:r>
        <w:t>代码证</w:t>
      </w:r>
      <w:r>
        <w:rPr>
          <w:rFonts w:hint="eastAsia"/>
        </w:rPr>
        <w:t>（</w:t>
      </w:r>
      <w:r>
        <w:t>如已办理</w:t>
      </w:r>
      <w:r>
        <w:rPr>
          <w:rFonts w:hint="eastAsia"/>
        </w:rPr>
        <w:t>“</w:t>
      </w:r>
      <w:r>
        <w:t>三证合一</w:t>
      </w:r>
      <w:r>
        <w:rPr>
          <w:rFonts w:hint="eastAsia"/>
        </w:rPr>
        <w:t>”</w:t>
      </w:r>
      <w:r>
        <w:t>，仅提供</w:t>
      </w:r>
      <w:r>
        <w:rPr>
          <w:rFonts w:hint="eastAsia"/>
        </w:rPr>
        <w:t>标注统一</w:t>
      </w:r>
      <w:r>
        <w:t>社会信用代码</w:t>
      </w:r>
      <w:r>
        <w:rPr>
          <w:rFonts w:hint="eastAsia"/>
        </w:rPr>
        <w:t>的</w:t>
      </w:r>
      <w:r>
        <w:t>营业执照</w:t>
      </w:r>
      <w:r>
        <w:rPr>
          <w:rFonts w:hint="eastAsia"/>
        </w:rPr>
        <w:t>复印件即可）；</w:t>
      </w:r>
    </w:p>
    <w:p>
      <w:pPr>
        <w:spacing w:line="360" w:lineRule="auto"/>
      </w:pPr>
      <w:r>
        <w:rPr>
          <w:rFonts w:hint="eastAsia"/>
        </w:rPr>
        <w:t>附件2：认证委托人</w:t>
      </w:r>
      <w:r>
        <w:t>承诺</w:t>
      </w:r>
      <w:r>
        <w:rPr>
          <w:rFonts w:hint="eastAsia"/>
        </w:rPr>
        <w:t>；</w:t>
      </w:r>
    </w:p>
    <w:p>
      <w:pPr>
        <w:spacing w:line="360" w:lineRule="auto"/>
      </w:pPr>
      <w:r>
        <w:rPr>
          <w:rFonts w:hint="eastAsia"/>
        </w:rPr>
        <w:t>附件3：与公共服务平台完成对接及</w:t>
      </w:r>
      <w:r>
        <w:t>数据交互状态</w:t>
      </w:r>
      <w:r>
        <w:rPr>
          <w:rFonts w:hint="eastAsia"/>
        </w:rPr>
        <w:t>的证明（国家</w:t>
      </w:r>
      <w:r>
        <w:t>公共服务平台出具</w:t>
      </w:r>
      <w:r>
        <w:rPr>
          <w:rFonts w:hint="eastAsia"/>
        </w:rPr>
        <w:t>）；</w:t>
      </w:r>
    </w:p>
    <w:p>
      <w:pPr>
        <w:pStyle w:val="45"/>
        <w:spacing w:line="360" w:lineRule="auto"/>
        <w:ind w:firstLine="0" w:firstLineChars="0"/>
        <w:rPr>
          <w:rFonts w:hAnsi="宋体"/>
          <w:szCs w:val="21"/>
        </w:rPr>
      </w:pPr>
      <w:r>
        <w:rPr>
          <w:rFonts w:hint="eastAsia" w:hAnsi="宋体"/>
          <w:szCs w:val="21"/>
        </w:rPr>
        <w:t>附件4：交易</w:t>
      </w:r>
      <w:r>
        <w:rPr>
          <w:rFonts w:hAnsi="宋体"/>
          <w:szCs w:val="21"/>
        </w:rPr>
        <w:t>平台自我评价</w:t>
      </w:r>
      <w:r>
        <w:rPr>
          <w:rFonts w:hint="eastAsia" w:hAnsi="宋体"/>
          <w:szCs w:val="21"/>
        </w:rPr>
        <w:t>声明；</w:t>
      </w:r>
    </w:p>
    <w:p>
      <w:pPr>
        <w:pStyle w:val="45"/>
        <w:spacing w:line="360" w:lineRule="auto"/>
        <w:ind w:firstLine="0" w:firstLineChars="0"/>
        <w:rPr>
          <w:rFonts w:hAnsi="宋体"/>
          <w:szCs w:val="21"/>
        </w:rPr>
      </w:pPr>
      <w:r>
        <w:rPr>
          <w:rFonts w:hint="eastAsia" w:hAnsi="宋体"/>
          <w:szCs w:val="21"/>
        </w:rPr>
        <w:t>附件5：交易平台对</w:t>
      </w:r>
      <w:r>
        <w:rPr>
          <w:rFonts w:hAnsi="宋体"/>
          <w:szCs w:val="21"/>
        </w:rPr>
        <w:t>检测项的适用性声明；</w:t>
      </w:r>
    </w:p>
    <w:p>
      <w:pPr>
        <w:pStyle w:val="45"/>
        <w:spacing w:line="360" w:lineRule="auto"/>
        <w:ind w:firstLine="0" w:firstLineChars="0"/>
        <w:rPr>
          <w:rFonts w:hAnsi="宋体"/>
          <w:szCs w:val="21"/>
        </w:rPr>
      </w:pPr>
      <w:r>
        <w:rPr>
          <w:rFonts w:hint="eastAsia" w:hAnsi="宋体"/>
          <w:szCs w:val="21"/>
        </w:rPr>
        <w:t>附件6：一致性声明；</w:t>
      </w:r>
    </w:p>
    <w:p>
      <w:pPr>
        <w:pStyle w:val="45"/>
        <w:spacing w:line="360" w:lineRule="auto"/>
        <w:ind w:left="708" w:hanging="707" w:hangingChars="337"/>
        <w:rPr>
          <w:rFonts w:hAnsi="宋体"/>
          <w:szCs w:val="21"/>
        </w:rPr>
      </w:pPr>
      <w:r>
        <w:rPr>
          <w:rFonts w:hint="eastAsia" w:hAnsi="宋体"/>
          <w:szCs w:val="21"/>
        </w:rPr>
        <w:t>附件7：保证交易平台合法、安全、规范运营及数据真实性、可靠性的技术措施和管理制度，至少</w:t>
      </w:r>
      <w:r>
        <w:rPr>
          <w:rFonts w:hAnsi="宋体"/>
          <w:szCs w:val="21"/>
        </w:rPr>
        <w:t>包括：</w:t>
      </w:r>
    </w:p>
    <w:p>
      <w:pPr>
        <w:pStyle w:val="45"/>
        <w:numPr>
          <w:ilvl w:val="0"/>
          <w:numId w:val="4"/>
        </w:numPr>
        <w:spacing w:line="360" w:lineRule="auto"/>
        <w:ind w:firstLineChars="0"/>
        <w:rPr>
          <w:rFonts w:hAnsi="宋体"/>
          <w:szCs w:val="21"/>
        </w:rPr>
      </w:pPr>
      <w:r>
        <w:rPr>
          <w:rFonts w:hint="eastAsia" w:hAnsi="宋体"/>
          <w:szCs w:val="21"/>
        </w:rPr>
        <w:t>操作及运行过程监控、变更管理、业务连续性和应急相应、安全审计、日志定期审核制度、运营岗位人员、职责设置方案等方面内容；</w:t>
      </w:r>
    </w:p>
    <w:p>
      <w:pPr>
        <w:pStyle w:val="45"/>
        <w:numPr>
          <w:ilvl w:val="0"/>
          <w:numId w:val="4"/>
        </w:numPr>
        <w:spacing w:line="360" w:lineRule="auto"/>
        <w:ind w:firstLineChars="0"/>
        <w:rPr>
          <w:rFonts w:hAnsi="宋体"/>
          <w:szCs w:val="21"/>
        </w:rPr>
      </w:pPr>
      <w:r>
        <w:rPr>
          <w:rFonts w:hint="eastAsia" w:hAnsi="宋体"/>
          <w:szCs w:val="21"/>
        </w:rPr>
        <w:t>与公共服务平台、行政监督平台的互联互通保障制度；</w:t>
      </w:r>
    </w:p>
    <w:p>
      <w:pPr>
        <w:pStyle w:val="45"/>
        <w:numPr>
          <w:ilvl w:val="0"/>
          <w:numId w:val="4"/>
        </w:numPr>
        <w:spacing w:line="360" w:lineRule="auto"/>
        <w:ind w:firstLineChars="0"/>
        <w:rPr>
          <w:rFonts w:hAnsi="宋体"/>
          <w:szCs w:val="21"/>
        </w:rPr>
      </w:pPr>
      <w:r>
        <w:rPr>
          <w:rFonts w:hint="eastAsia" w:hAnsi="宋体"/>
          <w:szCs w:val="21"/>
        </w:rPr>
        <w:t>外包管理材料（适用于将交易平台基础设施运维服务、应用系统运维服务和安全管理服务等外包给第三方机构的情况）。</w:t>
      </w:r>
    </w:p>
    <w:p>
      <w:pPr>
        <w:pStyle w:val="14"/>
        <w:spacing w:after="0" w:line="360" w:lineRule="auto"/>
        <w:rPr>
          <w:rFonts w:ascii="宋体" w:hAnsi="宋体"/>
          <w:sz w:val="21"/>
          <w:szCs w:val="21"/>
        </w:rPr>
      </w:pPr>
      <w:r>
        <w:rPr>
          <w:rFonts w:hint="eastAsia" w:ascii="宋体" w:hAnsi="宋体"/>
          <w:sz w:val="21"/>
          <w:szCs w:val="21"/>
        </w:rPr>
        <w:t>附件8：认证交易平台运行环境配置项表。</w:t>
      </w:r>
    </w:p>
    <w:p>
      <w:pPr>
        <w:pStyle w:val="15"/>
        <w:spacing w:before="156" w:beforeLines="50" w:after="156" w:afterLines="50"/>
        <w:ind w:firstLine="0" w:firstLineChars="0"/>
        <w:rPr>
          <w:rFonts w:cs="宋体"/>
          <w:sz w:val="24"/>
          <w:szCs w:val="21"/>
        </w:rPr>
      </w:pPr>
      <w:bookmarkStart w:id="4" w:name="_Toc369530454"/>
      <w:r>
        <w:rPr>
          <w:rFonts w:cs="宋体"/>
          <w:b/>
          <w:sz w:val="24"/>
          <w:szCs w:val="21"/>
        </w:rPr>
        <w:br w:type="page"/>
      </w:r>
      <w:r>
        <w:rPr>
          <w:rFonts w:hint="eastAsia" w:cs="宋体"/>
          <w:sz w:val="24"/>
          <w:szCs w:val="21"/>
        </w:rPr>
        <w:t>附件</w:t>
      </w:r>
      <w:r>
        <w:rPr>
          <w:rFonts w:cs="宋体"/>
          <w:sz w:val="24"/>
          <w:szCs w:val="21"/>
        </w:rPr>
        <w:t>2</w:t>
      </w:r>
    </w:p>
    <w:p>
      <w:pPr>
        <w:pStyle w:val="2"/>
        <w:spacing w:before="156" w:beforeLines="50" w:after="156" w:afterLines="50" w:line="420" w:lineRule="exact"/>
        <w:jc w:val="center"/>
        <w:rPr>
          <w:rFonts w:cs="宋体"/>
          <w:sz w:val="28"/>
          <w:szCs w:val="28"/>
        </w:rPr>
      </w:pPr>
      <w:bookmarkStart w:id="5" w:name="_Toc464049496"/>
      <w:r>
        <w:rPr>
          <w:rFonts w:hint="eastAsia" w:cs="宋体"/>
          <w:sz w:val="28"/>
          <w:szCs w:val="28"/>
        </w:rPr>
        <w:t>认证委托人承诺</w:t>
      </w:r>
      <w:bookmarkEnd w:id="4"/>
      <w:bookmarkEnd w:id="5"/>
    </w:p>
    <w:p>
      <w:pPr>
        <w:spacing w:before="240" w:line="300" w:lineRule="auto"/>
        <w:ind w:right="130"/>
        <w:rPr>
          <w:rFonts w:ascii="宋体" w:hAnsi="宋体"/>
          <w:szCs w:val="24"/>
        </w:rPr>
      </w:pPr>
    </w:p>
    <w:p>
      <w:pPr>
        <w:pStyle w:val="15"/>
        <w:spacing w:before="156" w:beforeLines="50" w:after="156" w:afterLines="50"/>
        <w:ind w:firstLine="420" w:firstLineChars="200"/>
        <w:rPr>
          <w:sz w:val="21"/>
          <w:szCs w:val="21"/>
        </w:rPr>
      </w:pPr>
      <w:r>
        <w:rPr>
          <w:rFonts w:hint="eastAsia" w:cs="宋体"/>
          <w:sz w:val="21"/>
          <w:szCs w:val="21"/>
        </w:rPr>
        <w:t>本机构愿意遵守《中华人民共和国认证认可条例》及相关法律法规的规定，严格履行认证过程中的各项要求，并承诺：</w:t>
      </w:r>
    </w:p>
    <w:p>
      <w:pPr>
        <w:pStyle w:val="15"/>
        <w:numPr>
          <w:ilvl w:val="0"/>
          <w:numId w:val="5"/>
        </w:numPr>
        <w:spacing w:before="156" w:beforeLines="50" w:after="156" w:afterLines="50"/>
        <w:ind w:firstLineChars="0"/>
        <w:rPr>
          <w:rFonts w:cs="宋体"/>
          <w:sz w:val="21"/>
          <w:szCs w:val="21"/>
        </w:rPr>
      </w:pPr>
      <w:r>
        <w:rPr>
          <w:rFonts w:hint="eastAsia" w:cs="宋体"/>
          <w:sz w:val="21"/>
          <w:szCs w:val="21"/>
        </w:rPr>
        <w:t>遵守《电子招标投标</w:t>
      </w:r>
      <w:r>
        <w:rPr>
          <w:rFonts w:cs="宋体"/>
          <w:sz w:val="21"/>
          <w:szCs w:val="21"/>
        </w:rPr>
        <w:t>系统交易平台认证实施规则》</w:t>
      </w:r>
      <w:r>
        <w:rPr>
          <w:rFonts w:hint="eastAsia" w:cs="宋体"/>
          <w:sz w:val="21"/>
          <w:szCs w:val="21"/>
        </w:rPr>
        <w:t>，</w:t>
      </w:r>
      <w:r>
        <w:rPr>
          <w:rFonts w:cs="宋体"/>
          <w:sz w:val="21"/>
          <w:szCs w:val="21"/>
        </w:rPr>
        <w:t>遵守</w:t>
      </w:r>
      <w:r>
        <w:rPr>
          <w:rFonts w:hint="eastAsia" w:cs="宋体"/>
          <w:sz w:val="21"/>
          <w:szCs w:val="21"/>
        </w:rPr>
        <w:t>中国网络安全审查认证和市场监管大数据中心的有关程序和规定。</w:t>
      </w:r>
    </w:p>
    <w:p>
      <w:pPr>
        <w:pStyle w:val="15"/>
        <w:numPr>
          <w:ilvl w:val="0"/>
          <w:numId w:val="5"/>
        </w:numPr>
        <w:spacing w:before="156" w:beforeLines="50" w:after="156" w:afterLines="50"/>
        <w:ind w:firstLineChars="0"/>
        <w:rPr>
          <w:rFonts w:cs="宋体"/>
          <w:sz w:val="21"/>
          <w:szCs w:val="21"/>
        </w:rPr>
      </w:pPr>
      <w:r>
        <w:rPr>
          <w:rFonts w:hint="eastAsia" w:cs="宋体"/>
          <w:sz w:val="21"/>
          <w:szCs w:val="21"/>
        </w:rPr>
        <w:t>为开展认证提供必要、及时的配合。</w:t>
      </w:r>
    </w:p>
    <w:p>
      <w:pPr>
        <w:pStyle w:val="15"/>
        <w:numPr>
          <w:ilvl w:val="0"/>
          <w:numId w:val="5"/>
        </w:numPr>
        <w:spacing w:before="156" w:beforeLines="50" w:after="156" w:afterLines="50"/>
        <w:ind w:firstLineChars="0"/>
        <w:rPr>
          <w:rFonts w:cs="宋体"/>
          <w:sz w:val="21"/>
          <w:szCs w:val="21"/>
        </w:rPr>
      </w:pPr>
      <w:r>
        <w:rPr>
          <w:rFonts w:hint="eastAsia" w:cs="宋体"/>
          <w:sz w:val="21"/>
          <w:szCs w:val="21"/>
        </w:rPr>
        <w:t>确保提交资料中所有内容的真实性、有效性和准确性。</w:t>
      </w:r>
    </w:p>
    <w:p>
      <w:pPr>
        <w:pStyle w:val="15"/>
        <w:numPr>
          <w:ilvl w:val="0"/>
          <w:numId w:val="5"/>
        </w:numPr>
        <w:spacing w:before="156" w:beforeLines="50" w:after="156" w:afterLines="50"/>
        <w:ind w:firstLineChars="0"/>
        <w:rPr>
          <w:rFonts w:cs="宋体"/>
          <w:sz w:val="21"/>
          <w:szCs w:val="21"/>
        </w:rPr>
      </w:pPr>
      <w:r>
        <w:rPr>
          <w:rFonts w:hint="eastAsia" w:cs="宋体"/>
          <w:sz w:val="21"/>
          <w:szCs w:val="21"/>
        </w:rPr>
        <w:t>在广告宣传等活动中正确使用认证证书、认证标志和相关信息。</w:t>
      </w:r>
    </w:p>
    <w:p>
      <w:pPr>
        <w:pStyle w:val="15"/>
        <w:numPr>
          <w:ilvl w:val="0"/>
          <w:numId w:val="5"/>
        </w:numPr>
        <w:spacing w:before="156" w:beforeLines="50" w:after="156" w:afterLines="50"/>
        <w:ind w:firstLineChars="0"/>
        <w:rPr>
          <w:rFonts w:cs="宋体"/>
          <w:sz w:val="21"/>
          <w:szCs w:val="21"/>
        </w:rPr>
      </w:pPr>
      <w:r>
        <w:rPr>
          <w:rFonts w:hint="eastAsia" w:cs="宋体"/>
          <w:sz w:val="21"/>
          <w:szCs w:val="21"/>
        </w:rPr>
        <w:t>当证书被暂停或撤销时，立即停止使用认证证书、认证标志以及涉及证书有效性的宣传，并交回认证证书原件。</w:t>
      </w:r>
    </w:p>
    <w:p>
      <w:pPr>
        <w:pStyle w:val="15"/>
        <w:numPr>
          <w:ilvl w:val="0"/>
          <w:numId w:val="5"/>
        </w:numPr>
        <w:spacing w:before="156" w:beforeLines="50" w:after="156" w:afterLines="50"/>
        <w:ind w:firstLineChars="0"/>
        <w:rPr>
          <w:rFonts w:ascii="宋体" w:hAnsi="宋体" w:cs="宋体"/>
          <w:sz w:val="21"/>
          <w:szCs w:val="21"/>
        </w:rPr>
      </w:pPr>
      <w:r>
        <w:rPr>
          <w:rFonts w:hint="eastAsia" w:ascii="宋体" w:hAnsi="宋体" w:cs="宋体"/>
          <w:sz w:val="21"/>
          <w:szCs w:val="21"/>
        </w:rPr>
        <w:t>本次认证申请不论获证与否，均及时缴纳认证的相关费用。</w:t>
      </w:r>
    </w:p>
    <w:p>
      <w:pPr>
        <w:pStyle w:val="15"/>
        <w:numPr>
          <w:ilvl w:val="0"/>
          <w:numId w:val="5"/>
        </w:numPr>
        <w:spacing w:before="156" w:beforeLines="50" w:after="156" w:afterLines="50"/>
        <w:ind w:firstLineChars="0"/>
        <w:rPr>
          <w:rFonts w:ascii="宋体" w:hAnsi="宋体"/>
          <w:sz w:val="21"/>
          <w:szCs w:val="21"/>
        </w:rPr>
      </w:pPr>
      <w:r>
        <w:rPr>
          <w:rFonts w:hint="eastAsia" w:ascii="宋体" w:hAnsi="宋体"/>
          <w:sz w:val="21"/>
          <w:szCs w:val="21"/>
        </w:rPr>
        <w:t>本机构承诺在申请认证或已认证的领域内持续满足认证要求，包括同意在认证要求变更时，做出相应的调整。</w:t>
      </w:r>
    </w:p>
    <w:p>
      <w:pPr>
        <w:pStyle w:val="15"/>
        <w:spacing w:before="156" w:beforeLines="50" w:after="156" w:afterLines="50"/>
        <w:ind w:firstLine="630"/>
        <w:rPr>
          <w:sz w:val="21"/>
          <w:szCs w:val="21"/>
        </w:rPr>
      </w:pPr>
    </w:p>
    <w:p>
      <w:pPr>
        <w:spacing w:line="360" w:lineRule="auto"/>
        <w:rPr>
          <w:rFonts w:cs="宋体"/>
        </w:rPr>
      </w:pPr>
    </w:p>
    <w:p>
      <w:pPr>
        <w:spacing w:line="360" w:lineRule="auto"/>
        <w:ind w:right="420" w:firstLine="3968" w:firstLineChars="1890"/>
        <w:jc w:val="center"/>
        <w:rPr>
          <w:rFonts w:cs="宋体"/>
        </w:rPr>
      </w:pPr>
      <w:r>
        <w:rPr>
          <w:rFonts w:hint="eastAsia"/>
        </w:rPr>
        <w:t>法定代表人（签字）</w:t>
      </w:r>
    </w:p>
    <w:p>
      <w:pPr>
        <w:spacing w:line="360" w:lineRule="auto"/>
        <w:ind w:firstLine="3968" w:firstLineChars="1890"/>
        <w:jc w:val="right"/>
        <w:rPr>
          <w:rFonts w:cs="宋体"/>
        </w:rPr>
      </w:pPr>
    </w:p>
    <w:p>
      <w:pPr>
        <w:spacing w:line="360" w:lineRule="auto"/>
        <w:ind w:right="420" w:firstLine="3968" w:firstLineChars="1890"/>
        <w:jc w:val="center"/>
        <w:rPr>
          <w:rFonts w:cs="宋体"/>
        </w:rPr>
      </w:pPr>
      <w:r>
        <w:rPr>
          <w:rFonts w:hint="eastAsia"/>
        </w:rPr>
        <w:t>认证</w:t>
      </w:r>
      <w:r>
        <w:t>委托人</w:t>
      </w:r>
      <w:r>
        <w:rPr>
          <w:rFonts w:hint="eastAsia"/>
        </w:rPr>
        <w:t>公章</w:t>
      </w:r>
    </w:p>
    <w:p>
      <w:pPr>
        <w:spacing w:line="360" w:lineRule="auto"/>
        <w:ind w:firstLine="3968" w:firstLineChars="1890"/>
        <w:jc w:val="right"/>
        <w:rPr>
          <w:rFonts w:cs="宋体"/>
        </w:rPr>
      </w:pPr>
    </w:p>
    <w:p>
      <w:pPr>
        <w:ind w:right="420" w:firstLine="4712" w:firstLineChars="2244"/>
        <w:jc w:val="center"/>
        <w:rPr>
          <w:rFonts w:cs="宋体"/>
        </w:rPr>
      </w:pPr>
      <w:r>
        <w:rPr>
          <w:rFonts w:hint="eastAsia"/>
        </w:rPr>
        <w:t xml:space="preserve">年     月     </w:t>
      </w:r>
      <w:r>
        <w:rPr>
          <w:rFonts w:hint="eastAsia" w:cs="宋体"/>
        </w:rPr>
        <w:t>日</w:t>
      </w:r>
      <w:bookmarkStart w:id="6" w:name="_Toc369530456"/>
    </w:p>
    <w:p>
      <w:pPr>
        <w:pStyle w:val="15"/>
        <w:spacing w:before="156" w:beforeLines="50" w:after="156" w:afterLines="50"/>
        <w:ind w:firstLine="0" w:firstLineChars="0"/>
        <w:rPr>
          <w:rFonts w:cs="宋体"/>
          <w:sz w:val="24"/>
          <w:szCs w:val="21"/>
        </w:rPr>
      </w:pPr>
      <w:r>
        <w:rPr>
          <w:rFonts w:cs="宋体"/>
        </w:rPr>
        <w:br w:type="page"/>
      </w:r>
      <w:r>
        <w:rPr>
          <w:rFonts w:hint="eastAsia" w:cs="宋体"/>
          <w:sz w:val="24"/>
          <w:szCs w:val="21"/>
        </w:rPr>
        <w:t>附件4</w:t>
      </w:r>
    </w:p>
    <w:p>
      <w:pPr>
        <w:pStyle w:val="2"/>
        <w:spacing w:before="156" w:beforeLines="50" w:after="156" w:afterLines="50" w:line="420" w:lineRule="exact"/>
        <w:jc w:val="center"/>
        <w:rPr>
          <w:rFonts w:cs="宋体"/>
          <w:sz w:val="28"/>
          <w:szCs w:val="28"/>
        </w:rPr>
      </w:pPr>
      <w:bookmarkStart w:id="7" w:name="_Toc464049497"/>
      <w:r>
        <w:rPr>
          <w:rFonts w:hint="eastAsia" w:cs="宋体"/>
          <w:sz w:val="28"/>
          <w:szCs w:val="28"/>
        </w:rPr>
        <w:t>自我评价声明</w:t>
      </w:r>
      <w:bookmarkEnd w:id="7"/>
    </w:p>
    <w:p>
      <w:pPr>
        <w:pStyle w:val="45"/>
        <w:spacing w:line="360" w:lineRule="auto"/>
        <w:ind w:firstLine="420"/>
        <w:rPr>
          <w:rFonts w:hAnsi="宋体"/>
          <w:szCs w:val="24"/>
          <w:u w:val="single"/>
        </w:rPr>
      </w:pPr>
    </w:p>
    <w:p>
      <w:pPr>
        <w:pStyle w:val="45"/>
        <w:spacing w:line="360" w:lineRule="auto"/>
        <w:ind w:firstLine="0" w:firstLineChars="0"/>
        <w:rPr>
          <w:rFonts w:hAnsi="宋体"/>
          <w:szCs w:val="21"/>
        </w:rPr>
      </w:pPr>
      <w:r>
        <w:rPr>
          <w:rFonts w:hint="eastAsia" w:hAnsi="宋体"/>
          <w:szCs w:val="21"/>
        </w:rPr>
        <w:t>中国网络安全审查认证和市场监管大数据中心：</w:t>
      </w:r>
    </w:p>
    <w:p>
      <w:pPr>
        <w:pStyle w:val="45"/>
        <w:spacing w:line="360" w:lineRule="auto"/>
        <w:ind w:firstLine="420"/>
        <w:rPr>
          <w:rFonts w:hAnsi="宋体"/>
          <w:szCs w:val="21"/>
        </w:rPr>
      </w:pPr>
      <w:r>
        <w:rPr>
          <w:rFonts w:hint="eastAsia" w:hAnsi="宋体"/>
          <w:szCs w:val="21"/>
        </w:rPr>
        <w:t>本认证委托人（运营机构）</w:t>
      </w:r>
      <w:r>
        <w:rPr>
          <w:rFonts w:hint="eastAsia" w:hAnsi="宋体"/>
          <w:i/>
          <w:szCs w:val="21"/>
          <w:u w:val="single"/>
        </w:rPr>
        <w:t>（填写</w:t>
      </w:r>
      <w:r>
        <w:rPr>
          <w:rFonts w:hAnsi="宋体"/>
          <w:i/>
          <w:szCs w:val="21"/>
          <w:u w:val="single"/>
        </w:rPr>
        <w:t>认证委托人名称）</w:t>
      </w:r>
      <w:r>
        <w:rPr>
          <w:rFonts w:hint="eastAsia" w:hAnsi="宋体"/>
          <w:szCs w:val="21"/>
        </w:rPr>
        <w:t>及受检交易平台</w:t>
      </w:r>
      <w:r>
        <w:rPr>
          <w:rFonts w:hint="eastAsia" w:hAnsi="宋体"/>
          <w:i/>
          <w:szCs w:val="21"/>
          <w:u w:val="single"/>
        </w:rPr>
        <w:t>（填写交易平台名称</w:t>
      </w:r>
      <w:r>
        <w:rPr>
          <w:rFonts w:hAnsi="宋体"/>
          <w:i/>
          <w:szCs w:val="21"/>
          <w:u w:val="single"/>
        </w:rPr>
        <w:t>及版本号</w:t>
      </w:r>
      <w:r>
        <w:rPr>
          <w:rFonts w:hint="eastAsia" w:hAnsi="宋体"/>
          <w:i/>
          <w:szCs w:val="21"/>
          <w:u w:val="single"/>
        </w:rPr>
        <w:t>）</w:t>
      </w:r>
      <w:r>
        <w:rPr>
          <w:rFonts w:hint="eastAsia" w:hAnsi="宋体"/>
          <w:szCs w:val="21"/>
        </w:rPr>
        <w:t>承诺严格遵守并履行</w:t>
      </w:r>
      <w:r>
        <w:rPr>
          <w:rFonts w:hint="eastAsia" w:ascii="Times New Roman"/>
          <w:kern w:val="2"/>
          <w:szCs w:val="21"/>
        </w:rPr>
        <w:t>《电子招标投标系统交易平台认证技术规范》</w:t>
      </w:r>
      <w:r>
        <w:rPr>
          <w:rFonts w:hint="eastAsia" w:hAnsi="宋体"/>
          <w:szCs w:val="21"/>
        </w:rPr>
        <w:t>的相关要求。</w:t>
      </w:r>
    </w:p>
    <w:p>
      <w:pPr>
        <w:wordWrap w:val="0"/>
        <w:ind w:firstLine="420" w:firstLineChars="200"/>
        <w:rPr>
          <w:rFonts w:ascii="宋体" w:hAnsi="宋体"/>
        </w:rPr>
      </w:pPr>
      <w:r>
        <w:rPr>
          <w:rFonts w:ascii="Calibri" w:hAnsi="Calibri"/>
          <w:color w:val="000000"/>
          <w:shd w:val="clear" w:color="auto" w:fill="FFFFFF"/>
        </w:rPr>
        <w:t>认证委托人（运营机构）对受检交易平台自我评价声明如下</w:t>
      </w:r>
      <w:r>
        <w:rPr>
          <w:rFonts w:hint="eastAsia" w:ascii="宋体" w:hAnsi="宋体"/>
        </w:rPr>
        <w:t xml:space="preserve">： </w:t>
      </w:r>
    </w:p>
    <w:p>
      <w:pPr>
        <w:wordWrap w:val="0"/>
        <w:rPr>
          <w:rFonts w:ascii="宋体" w:hAnsi="宋体"/>
        </w:rPr>
      </w:pPr>
    </w:p>
    <w:tbl>
      <w:tblPr>
        <w:tblStyle w:val="25"/>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019"/>
        <w:gridCol w:w="1997"/>
        <w:gridCol w:w="1637"/>
        <w:gridCol w:w="1527"/>
        <w:gridCol w:w="1401"/>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568" w:type="dxa"/>
            <w:vAlign w:val="center"/>
          </w:tcPr>
          <w:p>
            <w:pPr>
              <w:spacing w:before="156" w:beforeLines="50"/>
              <w:jc w:val="center"/>
              <w:rPr>
                <w:rFonts w:ascii="宋体" w:hAnsi="宋体"/>
                <w:b/>
              </w:rPr>
            </w:pPr>
            <w:r>
              <w:rPr>
                <w:rFonts w:hint="eastAsia" w:ascii="宋体" w:hAnsi="宋体"/>
                <w:b/>
              </w:rPr>
              <w:t>序号</w:t>
            </w:r>
          </w:p>
        </w:tc>
        <w:tc>
          <w:tcPr>
            <w:tcW w:w="3016" w:type="dxa"/>
            <w:gridSpan w:val="2"/>
            <w:vAlign w:val="center"/>
          </w:tcPr>
          <w:p>
            <w:pPr>
              <w:spacing w:before="156" w:beforeLines="50"/>
              <w:jc w:val="center"/>
              <w:rPr>
                <w:rFonts w:ascii="宋体" w:hAnsi="宋体"/>
                <w:b/>
              </w:rPr>
            </w:pPr>
            <w:r>
              <w:rPr>
                <w:rFonts w:hint="eastAsia" w:ascii="宋体" w:hAnsi="宋体"/>
                <w:b/>
              </w:rPr>
              <w:t>自我评价项目</w:t>
            </w:r>
          </w:p>
        </w:tc>
        <w:tc>
          <w:tcPr>
            <w:tcW w:w="1637" w:type="dxa"/>
            <w:vAlign w:val="center"/>
          </w:tcPr>
          <w:p>
            <w:pPr>
              <w:spacing w:before="156" w:beforeLines="50"/>
              <w:jc w:val="center"/>
              <w:rPr>
                <w:rFonts w:ascii="宋体" w:hAnsi="宋体"/>
                <w:b/>
              </w:rPr>
            </w:pPr>
            <w:r>
              <w:rPr>
                <w:rFonts w:hint="eastAsia" w:ascii="宋体" w:hAnsi="宋体"/>
                <w:b/>
              </w:rPr>
              <w:t>是否满足当前业务情况</w:t>
            </w:r>
          </w:p>
        </w:tc>
        <w:tc>
          <w:tcPr>
            <w:tcW w:w="1527" w:type="dxa"/>
            <w:vAlign w:val="center"/>
          </w:tcPr>
          <w:p>
            <w:pPr>
              <w:spacing w:before="156" w:beforeLines="50"/>
              <w:jc w:val="center"/>
              <w:rPr>
                <w:rFonts w:ascii="宋体" w:hAnsi="宋体"/>
                <w:b/>
              </w:rPr>
            </w:pPr>
            <w:r>
              <w:rPr>
                <w:rFonts w:hint="eastAsia" w:ascii="宋体" w:hAnsi="宋体"/>
                <w:b/>
              </w:rPr>
              <w:t>与认证规范差异说明</w:t>
            </w:r>
          </w:p>
        </w:tc>
        <w:tc>
          <w:tcPr>
            <w:tcW w:w="1401" w:type="dxa"/>
            <w:vAlign w:val="center"/>
          </w:tcPr>
          <w:p>
            <w:pPr>
              <w:spacing w:before="156" w:beforeLines="50"/>
              <w:jc w:val="center"/>
              <w:rPr>
                <w:rFonts w:ascii="宋体" w:hAnsi="宋体"/>
                <w:b/>
              </w:rPr>
            </w:pPr>
            <w:r>
              <w:rPr>
                <w:rFonts w:hint="eastAsia" w:ascii="宋体" w:hAnsi="宋体"/>
                <w:b/>
              </w:rPr>
              <w:t>证明性文件</w:t>
            </w:r>
          </w:p>
        </w:tc>
        <w:tc>
          <w:tcPr>
            <w:tcW w:w="771" w:type="dxa"/>
            <w:vAlign w:val="center"/>
          </w:tcPr>
          <w:p>
            <w:pPr>
              <w:spacing w:before="156" w:beforeLines="50"/>
              <w:jc w:val="center"/>
              <w:rPr>
                <w:rFonts w:ascii="宋体" w:hAnsi="宋体"/>
                <w:b/>
              </w:rPr>
            </w:pPr>
            <w:r>
              <w:rPr>
                <w:rFonts w:hint="eastAsia" w:ascii="宋体" w:hAnsi="宋体"/>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1</w:t>
            </w:r>
          </w:p>
        </w:tc>
        <w:tc>
          <w:tcPr>
            <w:tcW w:w="1019" w:type="dxa"/>
            <w:vMerge w:val="restart"/>
            <w:vAlign w:val="center"/>
          </w:tcPr>
          <w:p>
            <w:pPr>
              <w:spacing w:before="156" w:beforeLines="50"/>
              <w:jc w:val="center"/>
              <w:rPr>
                <w:rFonts w:ascii="宋体" w:hAnsi="宋体"/>
              </w:rPr>
            </w:pPr>
            <w:r>
              <w:rPr>
                <w:rFonts w:hint="eastAsia" w:ascii="宋体" w:hAnsi="宋体"/>
              </w:rPr>
              <w:t>性能</w:t>
            </w:r>
          </w:p>
        </w:tc>
        <w:tc>
          <w:tcPr>
            <w:tcW w:w="1997" w:type="dxa"/>
            <w:vAlign w:val="center"/>
          </w:tcPr>
          <w:p>
            <w:pPr>
              <w:spacing w:before="156" w:beforeLines="50"/>
              <w:jc w:val="center"/>
              <w:rPr>
                <w:rFonts w:ascii="宋体" w:hAnsi="宋体"/>
              </w:rPr>
            </w:pPr>
            <w:r>
              <w:rPr>
                <w:rFonts w:hint="eastAsia" w:ascii="宋体" w:hAnsi="宋体"/>
              </w:rPr>
              <w:t>负载能力</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大文件传输</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投标文件解密</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2</w:t>
            </w:r>
          </w:p>
        </w:tc>
        <w:tc>
          <w:tcPr>
            <w:tcW w:w="1019" w:type="dxa"/>
            <w:vMerge w:val="restart"/>
            <w:vAlign w:val="center"/>
          </w:tcPr>
          <w:p>
            <w:pPr>
              <w:spacing w:before="156" w:beforeLines="50"/>
              <w:jc w:val="center"/>
              <w:rPr>
                <w:rFonts w:ascii="宋体" w:hAnsi="宋体"/>
              </w:rPr>
            </w:pPr>
            <w:r>
              <w:rPr>
                <w:rFonts w:hint="eastAsia" w:ascii="宋体" w:hAnsi="宋体"/>
              </w:rPr>
              <w:t>安全性</w:t>
            </w:r>
          </w:p>
        </w:tc>
        <w:tc>
          <w:tcPr>
            <w:tcW w:w="1997" w:type="dxa"/>
            <w:vAlign w:val="center"/>
          </w:tcPr>
          <w:p>
            <w:pPr>
              <w:spacing w:before="156" w:beforeLines="50"/>
              <w:jc w:val="center"/>
              <w:rPr>
                <w:rFonts w:ascii="宋体" w:hAnsi="宋体"/>
              </w:rPr>
            </w:pPr>
            <w:r>
              <w:rPr>
                <w:rFonts w:hint="eastAsia" w:ascii="宋体" w:hAnsi="宋体"/>
              </w:rPr>
              <w:t>身份标识与鉴别</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电子签名</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访问控制</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通信安全</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存储安全</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资源控制</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最大并发数</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数据安全及备份恢复</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安全缺陷防范</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安全审计</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3</w:t>
            </w:r>
          </w:p>
        </w:tc>
        <w:tc>
          <w:tcPr>
            <w:tcW w:w="1019" w:type="dxa"/>
            <w:vMerge w:val="restart"/>
            <w:vAlign w:val="center"/>
          </w:tcPr>
          <w:p>
            <w:pPr>
              <w:spacing w:before="156" w:beforeLines="50"/>
              <w:jc w:val="center"/>
              <w:rPr>
                <w:rFonts w:ascii="宋体" w:hAnsi="宋体"/>
              </w:rPr>
            </w:pPr>
            <w:r>
              <w:rPr>
                <w:rFonts w:hint="eastAsia" w:ascii="宋体" w:hAnsi="宋体"/>
              </w:rPr>
              <w:t>可靠性</w:t>
            </w:r>
          </w:p>
        </w:tc>
        <w:tc>
          <w:tcPr>
            <w:tcW w:w="1997" w:type="dxa"/>
            <w:vAlign w:val="center"/>
          </w:tcPr>
          <w:p>
            <w:pPr>
              <w:spacing w:before="156" w:beforeLines="50"/>
              <w:jc w:val="center"/>
              <w:rPr>
                <w:rFonts w:ascii="宋体" w:hAnsi="宋体"/>
              </w:rPr>
            </w:pPr>
            <w:r>
              <w:rPr>
                <w:rFonts w:hint="eastAsia" w:ascii="宋体" w:hAnsi="宋体"/>
              </w:rPr>
              <w:t>成熟性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容错性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数据校验机制</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4</w:t>
            </w:r>
          </w:p>
        </w:tc>
        <w:tc>
          <w:tcPr>
            <w:tcW w:w="1019" w:type="dxa"/>
            <w:vMerge w:val="restart"/>
            <w:vAlign w:val="center"/>
          </w:tcPr>
          <w:p>
            <w:pPr>
              <w:spacing w:before="156" w:beforeLines="50"/>
              <w:jc w:val="center"/>
              <w:rPr>
                <w:rFonts w:ascii="宋体" w:hAnsi="宋体"/>
              </w:rPr>
            </w:pPr>
            <w:r>
              <w:rPr>
                <w:rFonts w:hint="eastAsia" w:ascii="宋体" w:hAnsi="宋体"/>
              </w:rPr>
              <w:t>运行环境</w:t>
            </w:r>
          </w:p>
        </w:tc>
        <w:tc>
          <w:tcPr>
            <w:tcW w:w="1997" w:type="dxa"/>
            <w:vAlign w:val="center"/>
          </w:tcPr>
          <w:p>
            <w:pPr>
              <w:spacing w:before="156" w:beforeLines="50"/>
              <w:jc w:val="center"/>
              <w:rPr>
                <w:rFonts w:ascii="宋体" w:hAnsi="宋体"/>
              </w:rPr>
            </w:pPr>
            <w:r>
              <w:rPr>
                <w:rFonts w:hint="eastAsia" w:ascii="宋体" w:hAnsi="宋体"/>
              </w:rPr>
              <w:t>机房环境</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网络环境</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软硬件环境</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5</w:t>
            </w:r>
          </w:p>
        </w:tc>
        <w:tc>
          <w:tcPr>
            <w:tcW w:w="1019" w:type="dxa"/>
            <w:vMerge w:val="restart"/>
            <w:vAlign w:val="center"/>
          </w:tcPr>
          <w:p>
            <w:pPr>
              <w:spacing w:before="156" w:beforeLines="50"/>
              <w:jc w:val="center"/>
              <w:rPr>
                <w:rFonts w:ascii="宋体" w:hAnsi="宋体"/>
              </w:rPr>
            </w:pPr>
            <w:r>
              <w:rPr>
                <w:rFonts w:hint="eastAsia" w:ascii="宋体" w:hAnsi="宋体"/>
              </w:rPr>
              <w:t>文档</w:t>
            </w:r>
          </w:p>
        </w:tc>
        <w:tc>
          <w:tcPr>
            <w:tcW w:w="1997" w:type="dxa"/>
            <w:vAlign w:val="center"/>
          </w:tcPr>
          <w:p>
            <w:pPr>
              <w:spacing w:before="156" w:beforeLines="50"/>
              <w:jc w:val="center"/>
              <w:rPr>
                <w:rFonts w:ascii="宋体" w:hAnsi="宋体"/>
              </w:rPr>
            </w:pPr>
            <w:r>
              <w:rPr>
                <w:rFonts w:hint="eastAsia" w:ascii="宋体" w:hAnsi="宋体"/>
              </w:rPr>
              <w:t>完整性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正确性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vAlign w:val="center"/>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一致性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restart"/>
            <w:vAlign w:val="center"/>
          </w:tcPr>
          <w:p>
            <w:pPr>
              <w:spacing w:before="156" w:beforeLines="50"/>
              <w:jc w:val="center"/>
              <w:rPr>
                <w:rFonts w:ascii="宋体" w:hAnsi="宋体"/>
              </w:rPr>
            </w:pPr>
            <w:r>
              <w:rPr>
                <w:rFonts w:hint="eastAsia" w:ascii="宋体" w:hAnsi="宋体"/>
              </w:rPr>
              <w:t>6</w:t>
            </w:r>
          </w:p>
        </w:tc>
        <w:tc>
          <w:tcPr>
            <w:tcW w:w="1019" w:type="dxa"/>
            <w:vMerge w:val="restart"/>
            <w:vAlign w:val="center"/>
          </w:tcPr>
          <w:p>
            <w:pPr>
              <w:spacing w:before="156" w:beforeLines="50"/>
              <w:jc w:val="center"/>
              <w:rPr>
                <w:rFonts w:ascii="宋体" w:hAnsi="宋体"/>
              </w:rPr>
            </w:pPr>
            <w:r>
              <w:rPr>
                <w:rFonts w:hint="eastAsia" w:ascii="宋体" w:hAnsi="宋体"/>
              </w:rPr>
              <w:t>易用性</w:t>
            </w:r>
          </w:p>
        </w:tc>
        <w:tc>
          <w:tcPr>
            <w:tcW w:w="1997" w:type="dxa"/>
            <w:vAlign w:val="center"/>
          </w:tcPr>
          <w:p>
            <w:pPr>
              <w:spacing w:before="156" w:beforeLines="50"/>
              <w:jc w:val="center"/>
              <w:rPr>
                <w:rFonts w:ascii="宋体" w:hAnsi="宋体"/>
              </w:rPr>
            </w:pPr>
            <w:r>
              <w:rPr>
                <w:rFonts w:hint="eastAsia" w:ascii="宋体" w:hAnsi="宋体"/>
              </w:rPr>
              <w:t>理解性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易浏览性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8" w:type="dxa"/>
            <w:vMerge w:val="continue"/>
          </w:tcPr>
          <w:p>
            <w:pPr>
              <w:spacing w:before="156" w:beforeLines="50"/>
              <w:jc w:val="center"/>
              <w:rPr>
                <w:rFonts w:ascii="宋体" w:hAnsi="宋体"/>
              </w:rPr>
            </w:pPr>
          </w:p>
        </w:tc>
        <w:tc>
          <w:tcPr>
            <w:tcW w:w="1019" w:type="dxa"/>
            <w:vMerge w:val="continue"/>
          </w:tcPr>
          <w:p>
            <w:pPr>
              <w:spacing w:before="156" w:beforeLines="50"/>
              <w:jc w:val="center"/>
              <w:rPr>
                <w:rFonts w:ascii="宋体" w:hAnsi="宋体"/>
              </w:rPr>
            </w:pPr>
          </w:p>
        </w:tc>
        <w:tc>
          <w:tcPr>
            <w:tcW w:w="1997" w:type="dxa"/>
            <w:vAlign w:val="center"/>
          </w:tcPr>
          <w:p>
            <w:pPr>
              <w:spacing w:before="156" w:beforeLines="50"/>
              <w:jc w:val="center"/>
              <w:rPr>
                <w:rFonts w:ascii="宋体" w:hAnsi="宋体"/>
              </w:rPr>
            </w:pPr>
            <w:r>
              <w:rPr>
                <w:rFonts w:hint="eastAsia" w:ascii="宋体" w:hAnsi="宋体"/>
              </w:rPr>
              <w:t>易操作性</w:t>
            </w:r>
          </w:p>
        </w:tc>
        <w:tc>
          <w:tcPr>
            <w:tcW w:w="1637" w:type="dxa"/>
          </w:tcPr>
          <w:p>
            <w:pPr>
              <w:spacing w:before="156" w:beforeLines="50"/>
              <w:jc w:val="center"/>
              <w:rPr>
                <w:rFonts w:ascii="宋体" w:hAnsi="宋体"/>
              </w:rPr>
            </w:pPr>
          </w:p>
        </w:tc>
        <w:tc>
          <w:tcPr>
            <w:tcW w:w="1527" w:type="dxa"/>
          </w:tcPr>
          <w:p>
            <w:pPr>
              <w:spacing w:before="156" w:beforeLines="50"/>
              <w:jc w:val="center"/>
              <w:rPr>
                <w:rFonts w:ascii="宋体" w:hAnsi="宋体"/>
              </w:rPr>
            </w:pPr>
          </w:p>
        </w:tc>
        <w:tc>
          <w:tcPr>
            <w:tcW w:w="1401" w:type="dxa"/>
          </w:tcPr>
          <w:p>
            <w:pPr>
              <w:spacing w:before="156" w:beforeLines="50"/>
              <w:jc w:val="center"/>
              <w:rPr>
                <w:rFonts w:ascii="宋体" w:hAnsi="宋体"/>
              </w:rPr>
            </w:pPr>
          </w:p>
        </w:tc>
        <w:tc>
          <w:tcPr>
            <w:tcW w:w="771" w:type="dxa"/>
          </w:tcPr>
          <w:p>
            <w:pPr>
              <w:spacing w:before="156" w:beforeLines="50"/>
              <w:jc w:val="center"/>
              <w:rPr>
                <w:rFonts w:ascii="宋体" w:hAnsi="宋体"/>
              </w:rPr>
            </w:pPr>
          </w:p>
        </w:tc>
      </w:tr>
    </w:tbl>
    <w:p>
      <w:pPr>
        <w:spacing w:before="156" w:beforeLines="50"/>
        <w:ind w:firstLine="420" w:firstLineChars="200"/>
        <w:rPr>
          <w:rFonts w:ascii="宋体" w:hAnsi="宋体"/>
        </w:rPr>
      </w:pPr>
      <w:r>
        <w:rPr>
          <w:rFonts w:hint="eastAsia" w:ascii="宋体" w:hAnsi="宋体"/>
        </w:rPr>
        <w:t>若发生与上述声明信息不一致的情况时，认证委托人（运营机构）自行承担相关的法律责任。</w:t>
      </w:r>
    </w:p>
    <w:p>
      <w:pPr>
        <w:rPr>
          <w:rFonts w:ascii="宋体" w:hAnsi="宋体"/>
        </w:rPr>
      </w:pPr>
    </w:p>
    <w:p>
      <w:pPr>
        <w:rPr>
          <w:rFonts w:ascii="宋体" w:hAnsi="宋体"/>
        </w:rPr>
      </w:pPr>
    </w:p>
    <w:p>
      <w:pPr>
        <w:ind w:left="1004" w:right="945" w:firstLine="2356" w:firstLineChars="1122"/>
        <w:jc w:val="center"/>
        <w:rPr>
          <w:rFonts w:ascii="宋体" w:hAnsi="宋体"/>
        </w:rPr>
      </w:pPr>
      <w:r>
        <w:rPr>
          <w:rFonts w:hint="eastAsia" w:ascii="宋体" w:hAnsi="宋体"/>
        </w:rPr>
        <w:t>认证委托人（运营机构）：</w:t>
      </w:r>
    </w:p>
    <w:p>
      <w:pPr>
        <w:ind w:left="1424" w:right="420" w:firstLine="2356" w:firstLineChars="1122"/>
        <w:jc w:val="center"/>
        <w:rPr>
          <w:rFonts w:ascii="宋体" w:hAnsi="宋体"/>
        </w:rPr>
      </w:pPr>
      <w:r>
        <w:rPr>
          <w:rFonts w:hint="eastAsia" w:ascii="宋体" w:hAnsi="宋体"/>
        </w:rPr>
        <w:t xml:space="preserve"> （加盖</w:t>
      </w:r>
      <w:r>
        <w:rPr>
          <w:rFonts w:ascii="宋体" w:hAnsi="宋体"/>
        </w:rPr>
        <w:t>公章）</w:t>
      </w:r>
      <w:r>
        <w:rPr>
          <w:rFonts w:hint="eastAsia" w:ascii="宋体" w:hAnsi="宋体"/>
        </w:rPr>
        <w:t>：</w:t>
      </w:r>
    </w:p>
    <w:p>
      <w:pPr>
        <w:ind w:firstLine="2356" w:firstLineChars="1122"/>
        <w:jc w:val="right"/>
        <w:rPr>
          <w:rFonts w:ascii="宋体" w:hAnsi="宋体"/>
        </w:rPr>
      </w:pPr>
    </w:p>
    <w:p>
      <w:pPr>
        <w:ind w:left="3104" w:right="420" w:firstLine="2461" w:firstLineChars="1172"/>
        <w:rPr>
          <w:rFonts w:ascii="宋体" w:hAnsi="宋体"/>
        </w:rPr>
      </w:pPr>
      <w:r>
        <w:rPr>
          <w:rFonts w:ascii="宋体" w:hAnsi="宋体"/>
        </w:rPr>
        <w:t>签署</w:t>
      </w:r>
      <w:r>
        <w:rPr>
          <w:rFonts w:hint="eastAsia" w:ascii="宋体" w:hAnsi="宋体"/>
        </w:rPr>
        <w:t>日期：</w:t>
      </w:r>
    </w:p>
    <w:p>
      <w:pPr>
        <w:ind w:firstLine="2356" w:firstLineChars="1122"/>
        <w:rPr>
          <w:rFonts w:ascii="宋体" w:hAnsi="宋体"/>
        </w:rPr>
      </w:pPr>
    </w:p>
    <w:p>
      <w:pPr>
        <w:ind w:firstLine="2356" w:firstLineChars="1122"/>
        <w:rPr>
          <w:rFonts w:ascii="宋体" w:hAnsi="宋体"/>
        </w:rPr>
      </w:pPr>
    </w:p>
    <w:p>
      <w:pPr>
        <w:ind w:left="283" w:hanging="283" w:hangingChars="135"/>
        <w:jc w:val="left"/>
        <w:rPr>
          <w:b/>
          <w:bCs/>
        </w:rPr>
      </w:pPr>
      <w:r>
        <w:rPr>
          <w:rFonts w:hint="eastAsia" w:ascii="宋体" w:hAnsi="宋体"/>
        </w:rPr>
        <w:t>填表</w:t>
      </w:r>
      <w:r>
        <w:rPr>
          <w:rFonts w:ascii="宋体" w:hAnsi="宋体"/>
        </w:rPr>
        <w:t>说明</w:t>
      </w:r>
      <w:r>
        <w:rPr>
          <w:rFonts w:hint="eastAsia" w:ascii="宋体" w:hAnsi="宋体"/>
        </w:rPr>
        <w:t>：</w:t>
      </w:r>
    </w:p>
    <w:p>
      <w:pPr>
        <w:jc w:val="left"/>
        <w:rPr>
          <w:bCs/>
        </w:rPr>
      </w:pPr>
      <w:r>
        <w:rPr>
          <w:rFonts w:hint="eastAsia"/>
          <w:bCs/>
        </w:rPr>
        <w:t>1、表格中“是否满足当前业务情况”，请按照实际交易平台运行情况如实填写。</w:t>
      </w:r>
    </w:p>
    <w:p>
      <w:pPr>
        <w:jc w:val="left"/>
        <w:rPr>
          <w:bCs/>
        </w:rPr>
      </w:pPr>
      <w:r>
        <w:rPr>
          <w:rFonts w:hint="eastAsia"/>
          <w:bCs/>
        </w:rPr>
        <w:t>2、表格中“与认证技术规范差异说明”，如果实际交易平台与认证技术规范要求不一致时请具体描述不一致情况。</w:t>
      </w:r>
    </w:p>
    <w:p>
      <w:pPr>
        <w:jc w:val="left"/>
        <w:rPr>
          <w:bCs/>
        </w:rPr>
      </w:pPr>
      <w:r>
        <w:rPr>
          <w:bCs/>
        </w:rPr>
        <w:t>3</w:t>
      </w:r>
      <w:r>
        <w:rPr>
          <w:rFonts w:hint="eastAsia"/>
          <w:bCs/>
        </w:rPr>
        <w:t>、表格中“证明性材料”，请提供能够证明满足当前业务情况或符合技术规范要求的证明性文件名称，如开发设计文件、自检测报告等，并将相关证明性文件一并提交。</w:t>
      </w:r>
    </w:p>
    <w:p>
      <w:pPr>
        <w:jc w:val="left"/>
        <w:rPr>
          <w:bCs/>
        </w:rPr>
      </w:pPr>
      <w:r>
        <w:rPr>
          <w:rFonts w:hint="eastAsia"/>
          <w:bCs/>
        </w:rPr>
        <w:t>4、如有其他特殊情况说明请在备注中描述。</w:t>
      </w:r>
    </w:p>
    <w:p>
      <w:pPr>
        <w:pStyle w:val="45"/>
        <w:spacing w:line="360" w:lineRule="auto"/>
        <w:ind w:firstLine="0" w:firstLineChars="0"/>
        <w:rPr>
          <w:rFonts w:hAnsi="宋体"/>
          <w:szCs w:val="21"/>
        </w:rPr>
        <w:sectPr>
          <w:footerReference r:id="rId8" w:type="default"/>
          <w:pgSz w:w="11906" w:h="16838"/>
          <w:pgMar w:top="1440" w:right="1797" w:bottom="1440" w:left="1797" w:header="851" w:footer="992" w:gutter="0"/>
          <w:pgNumType w:start="1"/>
          <w:cols w:space="720" w:num="1"/>
          <w:docGrid w:type="lines" w:linePitch="312" w:charSpace="0"/>
        </w:sectPr>
      </w:pPr>
    </w:p>
    <w:p>
      <w:pPr>
        <w:pStyle w:val="15"/>
        <w:spacing w:before="156" w:beforeLines="50" w:after="156" w:afterLines="50"/>
        <w:ind w:firstLine="0" w:firstLineChars="0"/>
        <w:rPr>
          <w:rFonts w:cs="宋体"/>
          <w:sz w:val="24"/>
          <w:szCs w:val="21"/>
        </w:rPr>
      </w:pPr>
      <w:r>
        <w:rPr>
          <w:rFonts w:hint="eastAsia" w:cs="宋体"/>
          <w:sz w:val="24"/>
          <w:szCs w:val="21"/>
        </w:rPr>
        <w:t>附件5</w:t>
      </w:r>
    </w:p>
    <w:p>
      <w:pPr>
        <w:pStyle w:val="2"/>
        <w:spacing w:before="156" w:beforeLines="50" w:after="156" w:afterLines="50" w:line="420" w:lineRule="exact"/>
        <w:jc w:val="center"/>
        <w:rPr>
          <w:rFonts w:cs="宋体"/>
          <w:sz w:val="28"/>
          <w:szCs w:val="28"/>
        </w:rPr>
      </w:pPr>
      <w:bookmarkStart w:id="8" w:name="_Toc464049498"/>
      <w:r>
        <w:rPr>
          <w:rFonts w:hint="eastAsia" w:cs="宋体"/>
          <w:sz w:val="28"/>
          <w:szCs w:val="28"/>
        </w:rPr>
        <w:t>检测项适用性声明</w:t>
      </w:r>
      <w:bookmarkEnd w:id="8"/>
    </w:p>
    <w:p>
      <w:pPr>
        <w:rPr>
          <w:sz w:val="24"/>
        </w:rPr>
      </w:pPr>
    </w:p>
    <w:p>
      <w:pPr>
        <w:pStyle w:val="45"/>
        <w:spacing w:line="360" w:lineRule="auto"/>
        <w:ind w:firstLine="0" w:firstLineChars="0"/>
        <w:rPr>
          <w:rFonts w:ascii="Times New Roman"/>
          <w:kern w:val="2"/>
          <w:szCs w:val="21"/>
        </w:rPr>
      </w:pPr>
      <w:r>
        <w:rPr>
          <w:rFonts w:hint="eastAsia" w:ascii="Times New Roman"/>
          <w:kern w:val="2"/>
          <w:szCs w:val="21"/>
          <w:u w:val="single"/>
        </w:rPr>
        <w:t>中国网络安全审查认证和市场监管大数据中心、</w:t>
      </w:r>
      <w:r>
        <w:rPr>
          <w:rFonts w:hint="eastAsia" w:ascii="Times New Roman"/>
          <w:i/>
          <w:kern w:val="2"/>
          <w:szCs w:val="21"/>
          <w:u w:val="single"/>
        </w:rPr>
        <w:t>（填写检测</w:t>
      </w:r>
      <w:r>
        <w:rPr>
          <w:rFonts w:ascii="Times New Roman"/>
          <w:i/>
          <w:kern w:val="2"/>
          <w:szCs w:val="21"/>
          <w:u w:val="single"/>
        </w:rPr>
        <w:t>机构名称</w:t>
      </w:r>
      <w:r>
        <w:rPr>
          <w:rFonts w:hint="eastAsia" w:ascii="Times New Roman"/>
          <w:i/>
          <w:kern w:val="2"/>
          <w:szCs w:val="21"/>
          <w:u w:val="single"/>
        </w:rPr>
        <w:t>）</w:t>
      </w:r>
      <w:r>
        <w:rPr>
          <w:rFonts w:hint="eastAsia" w:ascii="Times New Roman"/>
          <w:kern w:val="2"/>
          <w:szCs w:val="21"/>
        </w:rPr>
        <w:t>：</w:t>
      </w:r>
    </w:p>
    <w:p>
      <w:pPr>
        <w:pStyle w:val="45"/>
        <w:spacing w:line="360" w:lineRule="auto"/>
        <w:ind w:firstLine="525" w:firstLineChars="250"/>
        <w:rPr>
          <w:rFonts w:hAnsi="宋体"/>
          <w:szCs w:val="21"/>
        </w:rPr>
      </w:pPr>
      <w:r>
        <w:rPr>
          <w:rFonts w:hint="eastAsia" w:hAnsi="宋体"/>
          <w:szCs w:val="21"/>
        </w:rPr>
        <w:t>本认证委托人（运营机构）</w:t>
      </w:r>
      <w:r>
        <w:rPr>
          <w:rFonts w:hint="eastAsia" w:hAnsi="宋体"/>
          <w:i/>
          <w:szCs w:val="21"/>
          <w:u w:val="single"/>
        </w:rPr>
        <w:t>（填写</w:t>
      </w:r>
      <w:r>
        <w:rPr>
          <w:rFonts w:hAnsi="宋体"/>
          <w:i/>
          <w:szCs w:val="21"/>
          <w:u w:val="single"/>
        </w:rPr>
        <w:t>认证委托人名称）</w:t>
      </w:r>
      <w:r>
        <w:rPr>
          <w:rFonts w:hint="eastAsia" w:hAnsi="宋体"/>
          <w:szCs w:val="21"/>
        </w:rPr>
        <w:t>及受检交易平台</w:t>
      </w:r>
      <w:r>
        <w:rPr>
          <w:rFonts w:hint="eastAsia" w:hAnsi="宋体"/>
          <w:i/>
          <w:szCs w:val="21"/>
          <w:u w:val="single"/>
        </w:rPr>
        <w:t>（填写交易平台名称</w:t>
      </w:r>
      <w:r>
        <w:rPr>
          <w:rFonts w:hAnsi="宋体"/>
          <w:i/>
          <w:szCs w:val="21"/>
          <w:u w:val="single"/>
        </w:rPr>
        <w:t>及版本号</w:t>
      </w:r>
      <w:r>
        <w:rPr>
          <w:rFonts w:hint="eastAsia" w:hAnsi="宋体"/>
          <w:i/>
          <w:szCs w:val="21"/>
          <w:u w:val="single"/>
        </w:rPr>
        <w:t>）</w:t>
      </w:r>
      <w:r>
        <w:rPr>
          <w:rFonts w:hint="eastAsia" w:hAnsi="宋体"/>
          <w:szCs w:val="21"/>
        </w:rPr>
        <w:t>对</w:t>
      </w:r>
      <w:r>
        <w:rPr>
          <w:rFonts w:hint="eastAsia" w:ascii="Times New Roman"/>
          <w:kern w:val="2"/>
          <w:szCs w:val="21"/>
        </w:rPr>
        <w:t>《电子招标投标系统交易平台认证技术规范》</w:t>
      </w:r>
      <w:r>
        <w:rPr>
          <w:rFonts w:hint="eastAsia" w:hAnsi="宋体"/>
          <w:szCs w:val="21"/>
        </w:rPr>
        <w:t>中相关检测项适用性情况声明如下：</w:t>
      </w:r>
    </w:p>
    <w:p>
      <w:pPr>
        <w:wordWrap w:val="0"/>
        <w:ind w:firstLine="420" w:firstLineChars="200"/>
        <w:rPr>
          <w:rFonts w:ascii="宋体" w:hAnsi="宋体"/>
        </w:rPr>
      </w:pPr>
    </w:p>
    <w:p>
      <w:pPr>
        <w:numPr>
          <w:ilvl w:val="0"/>
          <w:numId w:val="6"/>
        </w:numPr>
        <w:wordWrap w:val="0"/>
        <w:rPr>
          <w:rFonts w:ascii="宋体" w:hAnsi="宋体"/>
        </w:rPr>
      </w:pPr>
      <w:r>
        <w:rPr>
          <w:rFonts w:hint="eastAsia" w:ascii="宋体" w:hAnsi="宋体"/>
        </w:rPr>
        <w:t>本交易平台申请的星级：</w:t>
      </w:r>
      <w:r>
        <w:rPr>
          <w:rFonts w:hint="eastAsia" w:hAnsi="宋体"/>
        </w:rPr>
        <w:sym w:font="Wingdings" w:char="F06F"/>
      </w:r>
      <w:r>
        <w:rPr>
          <w:rFonts w:hAnsi="宋体"/>
        </w:rPr>
        <w:t xml:space="preserve"> </w:t>
      </w:r>
      <w:r>
        <w:rPr>
          <w:rFonts w:hint="eastAsia" w:hAnsi="宋体"/>
        </w:rPr>
        <w:t xml:space="preserve">一星（基础级）    </w:t>
      </w:r>
      <w:r>
        <w:rPr>
          <w:rFonts w:hint="eastAsia" w:hAnsi="宋体"/>
        </w:rPr>
        <w:sym w:font="Wingdings" w:char="F06F"/>
      </w:r>
      <w:r>
        <w:rPr>
          <w:rFonts w:hAnsi="宋体"/>
        </w:rPr>
        <w:t xml:space="preserve"> 二星</w:t>
      </w:r>
      <w:r>
        <w:rPr>
          <w:rFonts w:hint="eastAsia" w:hAnsi="宋体"/>
        </w:rPr>
        <w:t xml:space="preserve">（标准级）    </w:t>
      </w:r>
      <w:r>
        <w:rPr>
          <w:rFonts w:hint="eastAsia" w:hAnsi="宋体"/>
        </w:rPr>
        <w:sym w:font="Wingdings" w:char="F06F"/>
      </w:r>
      <w:r>
        <w:rPr>
          <w:rFonts w:hAnsi="宋体"/>
        </w:rPr>
        <w:t xml:space="preserve"> </w:t>
      </w:r>
      <w:r>
        <w:rPr>
          <w:rFonts w:hint="eastAsia" w:hAnsi="宋体"/>
        </w:rPr>
        <w:t>三星（优化级）</w:t>
      </w:r>
    </w:p>
    <w:p>
      <w:pPr>
        <w:wordWrap w:val="0"/>
        <w:ind w:left="420"/>
        <w:rPr>
          <w:rFonts w:ascii="宋体" w:hAnsi="宋体"/>
        </w:rPr>
      </w:pPr>
    </w:p>
    <w:p>
      <w:pPr>
        <w:numPr>
          <w:ilvl w:val="0"/>
          <w:numId w:val="6"/>
        </w:numPr>
        <w:wordWrap w:val="0"/>
        <w:rPr>
          <w:rFonts w:ascii="宋体" w:hAnsi="宋体"/>
        </w:rPr>
      </w:pPr>
      <w:r>
        <w:rPr>
          <w:rFonts w:hint="eastAsia" w:ascii="宋体" w:hAnsi="宋体"/>
        </w:rPr>
        <w:t>本交易平台检测符合性情况：</w:t>
      </w:r>
    </w:p>
    <w:p>
      <w:pPr>
        <w:pStyle w:val="45"/>
        <w:spacing w:line="360" w:lineRule="auto"/>
        <w:ind w:firstLine="525" w:firstLineChars="250"/>
        <w:rPr>
          <w:rFonts w:hAnsi="宋体"/>
          <w:szCs w:val="21"/>
        </w:rPr>
      </w:pPr>
      <w:r>
        <w:rPr>
          <w:rFonts w:hint="eastAsia" w:hAnsi="宋体"/>
          <w:szCs w:val="21"/>
        </w:rPr>
        <w:t>注：申请一星（基础级）的交易平台应在标注为</w:t>
      </w:r>
      <w:r>
        <w:rPr>
          <w:rFonts w:hAnsi="宋体"/>
          <w:szCs w:val="21"/>
        </w:rPr>
        <w:t>★的检测项</w:t>
      </w:r>
      <w:r>
        <w:rPr>
          <w:rFonts w:hint="eastAsia" w:hAnsi="宋体"/>
          <w:szCs w:val="21"/>
        </w:rPr>
        <w:t>范围内进行选择；</w:t>
      </w:r>
    </w:p>
    <w:p>
      <w:pPr>
        <w:pStyle w:val="45"/>
        <w:spacing w:line="360" w:lineRule="auto"/>
        <w:ind w:firstLine="934" w:firstLineChars="445"/>
        <w:rPr>
          <w:rFonts w:hAnsi="宋体"/>
          <w:szCs w:val="21"/>
        </w:rPr>
      </w:pPr>
      <w:r>
        <w:rPr>
          <w:rFonts w:hAnsi="宋体"/>
          <w:szCs w:val="21"/>
        </w:rPr>
        <w:t>申请二星</w:t>
      </w:r>
      <w:r>
        <w:rPr>
          <w:rFonts w:hint="eastAsia" w:hAnsi="宋体"/>
          <w:szCs w:val="21"/>
        </w:rPr>
        <w:t>（标准级）的交易平台应在标注为</w:t>
      </w:r>
      <w:r>
        <w:rPr>
          <w:rFonts w:hAnsi="宋体"/>
          <w:szCs w:val="21"/>
        </w:rPr>
        <w:t>★和★★的检测项</w:t>
      </w:r>
      <w:r>
        <w:rPr>
          <w:rFonts w:hint="eastAsia" w:hAnsi="宋体"/>
          <w:szCs w:val="21"/>
        </w:rPr>
        <w:t>范围内进行选择；</w:t>
      </w:r>
    </w:p>
    <w:p>
      <w:pPr>
        <w:pStyle w:val="45"/>
        <w:spacing w:line="360" w:lineRule="auto"/>
        <w:ind w:left="780" w:firstLine="105" w:firstLineChars="50"/>
        <w:rPr>
          <w:rFonts w:hAnsi="宋体"/>
          <w:szCs w:val="21"/>
        </w:rPr>
      </w:pPr>
      <w:r>
        <w:rPr>
          <w:rFonts w:hAnsi="宋体"/>
          <w:szCs w:val="21"/>
        </w:rPr>
        <w:t>申请三星</w:t>
      </w:r>
      <w:r>
        <w:rPr>
          <w:rFonts w:hint="eastAsia" w:hAnsi="宋体"/>
          <w:szCs w:val="21"/>
        </w:rPr>
        <w:t>（优化级）的交易平台应在标注为</w:t>
      </w:r>
      <w:r>
        <w:rPr>
          <w:rFonts w:hAnsi="宋体"/>
          <w:szCs w:val="21"/>
        </w:rPr>
        <w:t>★</w:t>
      </w:r>
      <w:r>
        <w:rPr>
          <w:rFonts w:hint="eastAsia" w:hAnsi="宋体"/>
          <w:szCs w:val="21"/>
        </w:rPr>
        <w:t>、</w:t>
      </w:r>
      <w:r>
        <w:rPr>
          <w:rFonts w:hAnsi="宋体"/>
          <w:szCs w:val="21"/>
        </w:rPr>
        <w:t>★★和★★★的检测项</w:t>
      </w:r>
      <w:r>
        <w:rPr>
          <w:rFonts w:hint="eastAsia" w:hAnsi="宋体"/>
          <w:szCs w:val="21"/>
        </w:rPr>
        <w:t>范围内进行选择。</w:t>
      </w:r>
    </w:p>
    <w:p>
      <w:pPr>
        <w:widowControl/>
        <w:jc w:val="center"/>
        <w:rPr>
          <w:rFonts w:ascii="宋体" w:hAnsi="宋体" w:cs="宋体"/>
          <w:b/>
          <w:kern w:val="0"/>
          <w:sz w:val="28"/>
        </w:rPr>
      </w:pPr>
      <w:r>
        <w:rPr>
          <w:rFonts w:ascii="宋体" w:hAnsi="宋体" w:cs="宋体"/>
          <w:b/>
          <w:kern w:val="0"/>
          <w:sz w:val="28"/>
        </w:rPr>
        <w:t>交易平台功能点检测要求表</w:t>
      </w:r>
    </w:p>
    <w:tbl>
      <w:tblPr>
        <w:tblStyle w:val="25"/>
        <w:tblW w:w="1407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276"/>
        <w:gridCol w:w="1418"/>
        <w:gridCol w:w="2024"/>
        <w:gridCol w:w="5244"/>
        <w:gridCol w:w="1343"/>
        <w:gridCol w:w="1209"/>
        <w:gridCol w:w="155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tblHeader/>
          <w:jc w:val="center"/>
        </w:trPr>
        <w:tc>
          <w:tcPr>
            <w:tcW w:w="1276" w:type="dxa"/>
            <w:shd w:val="clear" w:color="000000" w:fill="auto"/>
            <w:vAlign w:val="center"/>
          </w:tcPr>
          <w:p>
            <w:pPr>
              <w:widowControl/>
              <w:jc w:val="center"/>
              <w:rPr>
                <w:rFonts w:ascii="宋体" w:hAnsi="宋体" w:cs="宋体"/>
                <w:b/>
                <w:kern w:val="0"/>
              </w:rPr>
            </w:pPr>
            <w:r>
              <w:rPr>
                <w:rFonts w:hint="eastAsia" w:ascii="宋体" w:hAnsi="宋体" w:cs="宋体"/>
                <w:b/>
                <w:kern w:val="0"/>
              </w:rPr>
              <w:t>功能模块</w:t>
            </w:r>
          </w:p>
        </w:tc>
        <w:tc>
          <w:tcPr>
            <w:tcW w:w="1418" w:type="dxa"/>
            <w:shd w:val="clear" w:color="000000" w:fill="auto"/>
            <w:vAlign w:val="center"/>
          </w:tcPr>
          <w:p>
            <w:pPr>
              <w:widowControl/>
              <w:jc w:val="center"/>
              <w:rPr>
                <w:rFonts w:ascii="宋体" w:hAnsi="宋体" w:cs="宋体"/>
                <w:b/>
                <w:kern w:val="0"/>
              </w:rPr>
            </w:pPr>
            <w:r>
              <w:rPr>
                <w:rFonts w:hint="eastAsia" w:ascii="宋体" w:hAnsi="宋体" w:cs="宋体"/>
                <w:b/>
                <w:kern w:val="0"/>
              </w:rPr>
              <w:t>检测模块</w:t>
            </w:r>
          </w:p>
        </w:tc>
        <w:tc>
          <w:tcPr>
            <w:tcW w:w="2024" w:type="dxa"/>
            <w:shd w:val="clear" w:color="000000" w:fill="auto"/>
            <w:vAlign w:val="center"/>
          </w:tcPr>
          <w:p>
            <w:pPr>
              <w:widowControl/>
              <w:jc w:val="center"/>
              <w:rPr>
                <w:rFonts w:ascii="宋体" w:hAnsi="宋体" w:cs="宋体"/>
                <w:b/>
                <w:kern w:val="0"/>
              </w:rPr>
            </w:pPr>
            <w:r>
              <w:rPr>
                <w:rFonts w:hint="eastAsia" w:ascii="宋体" w:hAnsi="宋体" w:cs="宋体"/>
                <w:b/>
                <w:kern w:val="0"/>
              </w:rPr>
              <w:t>检测点</w:t>
            </w:r>
          </w:p>
        </w:tc>
        <w:tc>
          <w:tcPr>
            <w:tcW w:w="5244" w:type="dxa"/>
            <w:shd w:val="clear" w:color="000000" w:fill="auto"/>
            <w:vAlign w:val="center"/>
          </w:tcPr>
          <w:p>
            <w:pPr>
              <w:widowControl/>
              <w:jc w:val="center"/>
              <w:rPr>
                <w:rFonts w:ascii="宋体" w:hAnsi="宋体" w:cs="宋体"/>
                <w:b/>
                <w:kern w:val="0"/>
              </w:rPr>
            </w:pPr>
            <w:r>
              <w:rPr>
                <w:rFonts w:hint="eastAsia" w:ascii="宋体" w:hAnsi="宋体" w:cs="宋体"/>
                <w:b/>
                <w:kern w:val="0"/>
              </w:rPr>
              <w:t>检测准则</w:t>
            </w:r>
            <w:r>
              <w:rPr>
                <w:rFonts w:ascii="微?雅?" w:hAnsi="微?雅?" w:cs="宋体"/>
                <w:b/>
                <w:kern w:val="0"/>
              </w:rPr>
              <w:t>/</w:t>
            </w:r>
            <w:r>
              <w:rPr>
                <w:rFonts w:hint="eastAsia" w:ascii="宋体" w:hAnsi="宋体" w:cs="宋体"/>
                <w:b/>
                <w:kern w:val="0"/>
              </w:rPr>
              <w:t>指标</w:t>
            </w:r>
          </w:p>
        </w:tc>
        <w:tc>
          <w:tcPr>
            <w:tcW w:w="1343" w:type="dxa"/>
            <w:shd w:val="clear" w:color="000000" w:fill="auto"/>
            <w:vAlign w:val="center"/>
          </w:tcPr>
          <w:p>
            <w:pPr>
              <w:widowControl/>
              <w:jc w:val="center"/>
              <w:rPr>
                <w:rFonts w:ascii="宋体" w:hAnsi="宋体" w:cs="宋体"/>
                <w:b/>
                <w:kern w:val="0"/>
              </w:rPr>
            </w:pPr>
            <w:r>
              <w:rPr>
                <w:rFonts w:hint="eastAsia" w:ascii="宋体" w:hAnsi="宋体" w:cs="宋体"/>
                <w:b/>
                <w:kern w:val="0"/>
              </w:rPr>
              <w:t>检测序号</w:t>
            </w:r>
          </w:p>
        </w:tc>
        <w:tc>
          <w:tcPr>
            <w:tcW w:w="1209" w:type="dxa"/>
            <w:shd w:val="clear" w:color="000000" w:fill="auto"/>
            <w:vAlign w:val="center"/>
          </w:tcPr>
          <w:p>
            <w:pPr>
              <w:widowControl/>
              <w:jc w:val="center"/>
              <w:rPr>
                <w:rFonts w:ascii="宋体" w:hAnsi="宋体" w:cs="宋体"/>
                <w:b/>
                <w:kern w:val="0"/>
              </w:rPr>
            </w:pPr>
            <w:r>
              <w:rPr>
                <w:rFonts w:hint="eastAsia" w:ascii="宋体" w:hAnsi="宋体" w:cs="宋体"/>
                <w:b/>
                <w:kern w:val="0"/>
              </w:rPr>
              <w:t>对应星级</w:t>
            </w:r>
          </w:p>
        </w:tc>
        <w:tc>
          <w:tcPr>
            <w:tcW w:w="1559" w:type="dxa"/>
            <w:shd w:val="clear" w:color="000000" w:fill="auto"/>
            <w:vAlign w:val="center"/>
          </w:tcPr>
          <w:p>
            <w:pPr>
              <w:widowControl/>
              <w:jc w:val="center"/>
              <w:rPr>
                <w:rFonts w:ascii="宋体" w:hAnsi="宋体" w:cs="宋体"/>
                <w:b/>
                <w:kern w:val="0"/>
              </w:rPr>
            </w:pPr>
            <w:r>
              <w:rPr>
                <w:rFonts w:hint="eastAsia" w:ascii="宋体" w:hAnsi="宋体" w:cs="宋体"/>
                <w:b/>
                <w:kern w:val="0"/>
              </w:rPr>
              <w:t>是否适用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用户注册</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招标人注册</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协</w:t>
            </w:r>
            <w:r>
              <w:rPr>
                <w:rFonts w:ascii="宋体" w:hAnsi="宋体" w:cs="宋体"/>
                <w:kern w:val="0"/>
              </w:rPr>
              <w:t xml:space="preserve"> </w:t>
            </w:r>
            <w:r>
              <w:rPr>
                <w:rFonts w:hint="eastAsia" w:ascii="宋体" w:hAnsi="宋体" w:cs="宋体"/>
                <w:kern w:val="0"/>
              </w:rPr>
              <w:t>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网上注册时，需阅读协议，并同意协议内容后，才可以继续注册。</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重复性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招标人网上注册时，名称不能重复注册申请。</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唯一性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招标人的组织机构代码需要判断唯一性，不可重复。</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信息符合性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招标人申报信息后，可以正确记录其具体申报人、申报时间等信息；交易平台的验证人员验证后，可以正确记录交易平台的验证人员、验证时间等信息。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基本信息申报验证通过后，招标人方可进行业务操作；验证不通过，招标人可再次修改基本信息并申报，交易平台的验证人员验证后，可以正确记录交易平台的验证人员、验证时间等信息。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待验证状态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招标人申报的信息在待验证时，无法进行修改。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修改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招标人提交的信息在验证通过后，若提出修改，必须申报并验证通过后，修改的数据才能生效。</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验证不同状态的修改、删除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招标人只可以对编辑中、验证未通过的信息进行修改、删除。</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业务权限验证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能够修改招标人的机构状态，用来确定招标人是否有权限进行业务操作。</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A-09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数据同步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验证通过招标人信息可推送到公共服务平台，数据正确无误；更改后并验证通过后，服务平台的数据可正常同步。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注册信息交换验证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实现对公共服务平台交换的注册信息进行比对、排除重复、修正、验证确认、写入招标人信息库功能。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ascii="宋体" w:hAnsi="宋体" w:cs="宋体"/>
                <w:kern w:val="0"/>
              </w:rPr>
              <w:t>CA</w:t>
            </w:r>
            <w:r>
              <w:rPr>
                <w:rFonts w:hint="eastAsia" w:ascii="宋体" w:hAnsi="宋体" w:cs="宋体"/>
                <w:kern w:val="0"/>
              </w:rPr>
              <w:t>验证（或绑定）</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能正常绑定和解除招标人的一个或多个</w:t>
            </w:r>
            <w:r>
              <w:rPr>
                <w:rFonts w:ascii="宋体" w:hAnsi="宋体" w:cs="宋体"/>
                <w:kern w:val="0"/>
              </w:rPr>
              <w:t>CA</w:t>
            </w:r>
            <w:r>
              <w:rPr>
                <w:rFonts w:hint="eastAsia" w:ascii="宋体" w:hAnsi="宋体" w:cs="宋体"/>
                <w:kern w:val="0"/>
              </w:rPr>
              <w:t>证书；只有绑定后，在需要使用</w:t>
            </w:r>
            <w:r>
              <w:rPr>
                <w:rFonts w:ascii="宋体" w:hAnsi="宋体" w:cs="宋体"/>
                <w:kern w:val="0"/>
              </w:rPr>
              <w:t>CA</w:t>
            </w:r>
            <w:r>
              <w:rPr>
                <w:rFonts w:hint="eastAsia" w:ascii="宋体" w:hAnsi="宋体" w:cs="宋体"/>
                <w:kern w:val="0"/>
              </w:rPr>
              <w:t>证书时，招标人才可以用</w:t>
            </w:r>
            <w:r>
              <w:rPr>
                <w:rFonts w:ascii="宋体" w:hAnsi="宋体" w:cs="宋体"/>
                <w:kern w:val="0"/>
              </w:rPr>
              <w:t>CA</w:t>
            </w:r>
            <w:r>
              <w:rPr>
                <w:rFonts w:hint="eastAsia" w:ascii="宋体" w:hAnsi="宋体" w:cs="宋体"/>
                <w:kern w:val="0"/>
              </w:rPr>
              <w:t>证书登录系统。绑定的时候，若证书中招标人名称和注册时名称不一致，需要提醒或禁止注册，具有验证</w:t>
            </w:r>
            <w:r>
              <w:rPr>
                <w:rFonts w:ascii="宋体" w:hAnsi="宋体" w:cs="宋体"/>
                <w:kern w:val="0"/>
              </w:rPr>
              <w:t>CA</w:t>
            </w:r>
            <w:r>
              <w:rPr>
                <w:rFonts w:hint="eastAsia" w:ascii="宋体" w:hAnsi="宋体" w:cs="宋体"/>
                <w:kern w:val="0"/>
              </w:rPr>
              <w:t>证书有效性的功能。</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000000" w:fill="FFFFFF"/>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ascii="宋体" w:hAnsi="宋体" w:cs="宋体"/>
                <w:kern w:val="0"/>
              </w:rPr>
              <w:t>CA</w:t>
            </w:r>
            <w:r>
              <w:rPr>
                <w:rFonts w:hint="eastAsia" w:ascii="宋体" w:hAnsi="宋体" w:cs="宋体"/>
                <w:kern w:val="0"/>
              </w:rPr>
              <w:t>续用</w:t>
            </w:r>
          </w:p>
        </w:tc>
        <w:tc>
          <w:tcPr>
            <w:tcW w:w="5244" w:type="dxa"/>
            <w:shd w:val="clear" w:color="000000" w:fill="FFFFFF"/>
            <w:vAlign w:val="center"/>
          </w:tcPr>
          <w:p>
            <w:pPr>
              <w:widowControl/>
              <w:jc w:val="left"/>
              <w:rPr>
                <w:rFonts w:ascii="宋体" w:hAnsi="宋体" w:cs="宋体"/>
                <w:kern w:val="0"/>
              </w:rPr>
            </w:pPr>
            <w:r>
              <w:rPr>
                <w:rFonts w:ascii="宋体" w:hAnsi="宋体" w:cs="宋体"/>
                <w:kern w:val="0"/>
              </w:rPr>
              <w:t>CA</w:t>
            </w:r>
            <w:r>
              <w:rPr>
                <w:rFonts w:hint="eastAsia" w:ascii="宋体" w:hAnsi="宋体" w:cs="宋体"/>
                <w:kern w:val="0"/>
              </w:rPr>
              <w:t>证书适用到期后有向招标人提醒功能并限</w:t>
            </w:r>
            <w:r>
              <w:rPr>
                <w:rFonts w:ascii="宋体" w:hAnsi="宋体" w:cs="宋体"/>
                <w:kern w:val="0"/>
              </w:rPr>
              <w:t>CA</w:t>
            </w:r>
            <w:r>
              <w:rPr>
                <w:rFonts w:hint="eastAsia" w:ascii="宋体" w:hAnsi="宋体" w:cs="宋体"/>
                <w:kern w:val="0"/>
              </w:rPr>
              <w:t>证书使用。</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auto" w:fill="auto"/>
            <w:vAlign w:val="center"/>
          </w:tcPr>
          <w:p>
            <w:pPr>
              <w:jc w:val="center"/>
              <w:rPr>
                <w:rFonts w:ascii="宋体" w:hAnsi="宋体" w:cs="宋体"/>
                <w:kern w:val="0"/>
              </w:rPr>
            </w:pPr>
            <w:r>
              <w:rPr>
                <w:rFonts w:hint="eastAsia" w:ascii="宋体" w:hAnsi="宋体" w:cs="宋体"/>
                <w:kern w:val="0"/>
              </w:rPr>
              <w:t>招标代理</w:t>
            </w:r>
          </w:p>
          <w:p>
            <w:pPr>
              <w:jc w:val="center"/>
              <w:rPr>
                <w:rFonts w:ascii="宋体" w:hAnsi="宋体" w:cs="宋体"/>
                <w:kern w:val="0"/>
              </w:rPr>
            </w:pPr>
            <w:r>
              <w:rPr>
                <w:rFonts w:hint="eastAsia" w:ascii="宋体" w:hAnsi="宋体" w:cs="宋体"/>
                <w:kern w:val="0"/>
              </w:rPr>
              <w:t>机构注册</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协</w:t>
            </w:r>
            <w:r>
              <w:rPr>
                <w:rFonts w:ascii="宋体" w:hAnsi="宋体" w:cs="宋体"/>
                <w:kern w:val="0"/>
              </w:rPr>
              <w:t xml:space="preserve"> </w:t>
            </w:r>
            <w:r>
              <w:rPr>
                <w:rFonts w:hint="eastAsia" w:ascii="宋体" w:hAnsi="宋体" w:cs="宋体"/>
                <w:kern w:val="0"/>
              </w:rPr>
              <w:t>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网上注册时，需阅读协议，并同意协议内容后，才可以继续注册。</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重复性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招标代理机构网上注册时，名称不能重复注册申请。</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唯一性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招标代理机构的组织机构代码应判断唯一性，不可重复。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信息正确性</w:t>
            </w:r>
          </w:p>
        </w:tc>
        <w:tc>
          <w:tcPr>
            <w:tcW w:w="5244" w:type="dxa"/>
            <w:shd w:val="clear" w:color="000000" w:fill="FFFFFF"/>
            <w:vAlign w:val="center"/>
          </w:tcPr>
          <w:p>
            <w:pPr>
              <w:widowControl/>
              <w:rPr>
                <w:rFonts w:ascii="宋体" w:hAnsi="宋体" w:cs="宋体"/>
                <w:kern w:val="0"/>
              </w:rPr>
            </w:pPr>
            <w:r>
              <w:rPr>
                <w:rFonts w:hint="eastAsia" w:ascii="宋体" w:hAnsi="宋体" w:cs="宋体"/>
                <w:kern w:val="0"/>
              </w:rPr>
              <w:t>招标代理机构申报信息后，可以正确记录其具体申报人、申报时间信息；交易平台的验证人员验证后，可以正确记录交易平台的验证人员、验证时间信息。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基本信息申报验证通过后，招标代理机构状态变为已验证，可进行业务操作；验证不通过，招标代理机构可再次修改基本信息并申报，交易平台可正常进行验证。</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待验证状态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招标代理机构申报的信息在待验证时，无法进行修改。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修改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招标代理机构提交的信息在验证通过后，若再次修改，必须申报并验证通过后，修改的数据才能生效；否则，仍采用原数据。</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验证不同状态的</w:t>
            </w:r>
            <w:r>
              <w:rPr>
                <w:rFonts w:ascii="宋体" w:hAnsi="宋体" w:cs="宋体"/>
                <w:kern w:val="0"/>
              </w:rPr>
              <w:t>修改、删除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招标代理机构只可以对编辑中、验证未通过的信息进行修改、删除。</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业务权限验证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可以修改招标代理机构的机构状态，用来确定招标代理机构是否有权限进行业务操作。</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数据同步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验证通过招标代理机构信息可推送到服务平台，数据正确无误；更改后并验证通过后，服务平台的数据可正常同步。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tcBorders>
              <w:bottom w:val="single" w:color="auto" w:sz="4" w:space="0"/>
            </w:tcBorders>
            <w:shd w:val="clear" w:color="auto" w:fill="auto"/>
            <w:vAlign w:val="center"/>
          </w:tcPr>
          <w:p>
            <w:pPr>
              <w:widowControl/>
              <w:jc w:val="center"/>
              <w:rPr>
                <w:rFonts w:ascii="宋体" w:hAnsi="宋体" w:cs="宋体"/>
                <w:kern w:val="0"/>
              </w:rPr>
            </w:pPr>
          </w:p>
        </w:tc>
        <w:tc>
          <w:tcPr>
            <w:tcW w:w="2024" w:type="dxa"/>
            <w:tcBorders>
              <w:bottom w:val="single" w:color="auto" w:sz="4" w:space="0"/>
            </w:tcBorders>
            <w:shd w:val="clear" w:color="000000" w:fill="FFFFFF"/>
            <w:vAlign w:val="center"/>
          </w:tcPr>
          <w:p>
            <w:pPr>
              <w:widowControl/>
              <w:jc w:val="center"/>
              <w:rPr>
                <w:rFonts w:ascii="宋体" w:hAnsi="宋体" w:cs="宋体"/>
                <w:kern w:val="0"/>
              </w:rPr>
            </w:pPr>
            <w:r>
              <w:rPr>
                <w:rFonts w:hint="eastAsia" w:ascii="宋体" w:hAnsi="宋体" w:cs="宋体"/>
                <w:kern w:val="0"/>
              </w:rPr>
              <w:t>注册信息交换验证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可实现对公共服务平台交换的注册信息，进行比对、排除重复、修正、验证确认、写入信息库功能。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tcBorders>
              <w:top w:val="single" w:color="auto" w:sz="4" w:space="0"/>
            </w:tcBorders>
            <w:shd w:val="clear" w:color="auto" w:fill="auto"/>
            <w:vAlign w:val="center"/>
          </w:tcPr>
          <w:p>
            <w:pPr>
              <w:jc w:val="center"/>
              <w:rPr>
                <w:rFonts w:ascii="宋体" w:hAnsi="宋体" w:cs="宋体"/>
                <w:kern w:val="0"/>
              </w:rPr>
            </w:pPr>
            <w:r>
              <w:rPr>
                <w:rFonts w:hint="eastAsia" w:ascii="宋体" w:hAnsi="宋体" w:cs="宋体"/>
                <w:kern w:val="0"/>
              </w:rPr>
              <w:t>投标人注册</w:t>
            </w:r>
          </w:p>
        </w:tc>
        <w:tc>
          <w:tcPr>
            <w:tcW w:w="2024" w:type="dxa"/>
            <w:tcBorders>
              <w:top w:val="single" w:color="auto" w:sz="4" w:space="0"/>
            </w:tcBorders>
            <w:shd w:val="clear" w:color="000000" w:fill="FFFFFF"/>
            <w:vAlign w:val="center"/>
          </w:tcPr>
          <w:p>
            <w:pPr>
              <w:widowControl/>
              <w:jc w:val="center"/>
              <w:rPr>
                <w:rFonts w:ascii="宋体" w:hAnsi="宋体" w:cs="宋体"/>
                <w:kern w:val="0"/>
              </w:rPr>
            </w:pPr>
            <w:r>
              <w:rPr>
                <w:rFonts w:hint="eastAsia" w:ascii="宋体" w:hAnsi="宋体" w:cs="宋体"/>
                <w:kern w:val="0"/>
              </w:rPr>
              <w:t>协议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网上注册时，需阅读协议，并同意协议内容后，才可以继续注册。</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重复性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投标人网上注册时，名称不能重复注册申请。</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信息正确性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投标人申报信息后，可以正确记录其具体申报人、申报时间信息。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交易平台的验证人员审核后，可以正确记录交易平台的验证人员、验证时间等信息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基本信息申报审核通过后，投标人可进行业务操作；验证不通过，投标人可再次修改基本信息并申报，交易平台可正常进行审核信息。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待验证状态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投标人申报的信息在待验证时，应无法进行修改。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修改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投标人提交的信息在验证通过后，若再次修改，必须申报并验证通过后，修改的数据才能生效；否则，仍采用原数据。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验证不同状态的修改、删除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投标人只可以对编辑中、验证未通过的信息进行修改、删除。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业务权限验证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交易平台工作人员可以修改投标人的机构状态，用来确定投标人是否有权限进行业务操作。</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数据同步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验证通过投标人信息可推送到服务平台，数据正确无误；更改后并验证通过后，服务平台的数据可正常同步。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注册信息交换验证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交易平台可实现对公共服务平台交换的注册信息，进行比对、排除重复、修正、验证确认、写入信息库功能。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招标方案</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项目与</w:t>
            </w:r>
          </w:p>
          <w:p>
            <w:pPr>
              <w:widowControl/>
              <w:jc w:val="center"/>
              <w:rPr>
                <w:rFonts w:ascii="宋体" w:hAnsi="宋体" w:cs="宋体"/>
                <w:kern w:val="0"/>
              </w:rPr>
            </w:pPr>
            <w:r>
              <w:rPr>
                <w:rFonts w:hint="eastAsia" w:ascii="宋体" w:hAnsi="宋体" w:cs="宋体"/>
                <w:kern w:val="0"/>
              </w:rPr>
              <w:t>招标项目</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项目基本信息管理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交易平台可增、删、改、查、递交项目。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招标项目基本信息</w:t>
            </w:r>
            <w:r>
              <w:rPr>
                <w:rFonts w:ascii="宋体" w:hAnsi="宋体" w:cs="宋体"/>
                <w:kern w:val="0"/>
              </w:rPr>
              <w:t>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交易平台可增、删、改、查、递交招标项目。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项目关联关系</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一个项目可以与本项目下的多个招标项目建立关联关系。</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标段（包）基本信息</w:t>
            </w:r>
            <w:r>
              <w:rPr>
                <w:rFonts w:ascii="宋体" w:hAnsi="宋体" w:cs="宋体"/>
                <w:kern w:val="0"/>
              </w:rPr>
              <w:t>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在招标项目里增、删、改、查标段（包）。</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A-39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招标项目关联关系</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一个招标项目可以与本招标项目下的多个标段（包）建立关联关系。</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代理机构职权</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可以设定代理机构的职责和权限。</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A-41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委托合同基本信息管理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交易平台可增、删、改、查、递交委托合同。</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委托合同在线编辑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交易平台具备委托合同的在线编辑功能，并支持招标人和招标代理机构分别签署自己的意见；返回给招标代理机构，可进行反复确认。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电子签名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交易平台支持对修改至无异议的合同，可生成电子签名的功能。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数据输出至公共服务平台</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应具备向公共服务平台提供招标项目数据的功能。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招标项目</w:t>
            </w:r>
          </w:p>
          <w:p>
            <w:pPr>
              <w:widowControl/>
              <w:jc w:val="center"/>
              <w:rPr>
                <w:rFonts w:ascii="宋体" w:hAnsi="宋体" w:cs="宋体"/>
                <w:kern w:val="0"/>
              </w:rPr>
            </w:pPr>
            <w:r>
              <w:rPr>
                <w:rFonts w:hint="eastAsia" w:ascii="宋体" w:hAnsi="宋体" w:cs="宋体"/>
                <w:kern w:val="0"/>
              </w:rPr>
              <w:t>计划</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招标项目任务计划关联信息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查看关联的招标项目信息和标段信息。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招标项目任务计划管理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增、删、改、查、递交招标项目计划。</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招标项目团队信息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设定项目团队成员及其职责分工。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项目任务计划审核</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项目任务计划信息报审通过后，计划生效；审核不通过，招标人（招标代理机构）可再次修改项目任务计划信息并提交审核。</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A-49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投标邀请</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招标公告资格预审公告</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公告选择</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公开招标项目可以选择招标公告或资格预审公告。</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公告基本信息管理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增、删、改、查、递交招标公告和资格预审公告。</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公告审核</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提供招标公告或资格预审公告的审核功能，并正确记录公告递交发布责任人、递交时间等信息；待审核状态的公告应无法进行修改。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公告验证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交易平台对招标公告或资格预审公告进行验证，并正确记录交易平台的验证人员、验证时间等信息。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公告发布</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提供公告在交易平台及公共服务平台同步发布的功能。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投标邀请书</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投标邀请书基本信息管理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交易平台增、删、改、查、递交邀请招标。</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选取潜在投标人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交易平台支持从投标人信息库获取可以满足投标资格条件或特点条件的潜在投标人名单列表。</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投标邀请</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投标邀请书可以正确生成和发出；被邀请的潜在投标人可以正常收到投标邀请书。</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邀请反馈</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在回复截止时间前，被邀请的潜在投标人可以接受或拒绝邀请；招标人或其委托的招标代理机构可以查看反馈信息。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发标</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招标文件</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招标文件创建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根据招标文件模板（包括标准文件或示范文本）生成招标文件各章节基本内容与格式。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A-59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填写信息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招标文件各章节中信息填写功能是否正常。</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获取信息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检查招标文件从前述程序中可获取的相关信息是否正常。</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设置评标办法</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检查评标办法是否可以正常设置，评标条款、评分点能否正常新增、删除、修改，序号不能重复。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设定投标文件组成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检查是否可设置投标文件的各组成部分。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工程量清单</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招标文件中需要工程量清单的，检测招标文件制作软件是否能正常导入专业工具生成的符合接口规范的工程量清单数据。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招标文件附件管理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检测招标文件中可上传、删除附件。</w:t>
            </w:r>
          </w:p>
          <w:p>
            <w:pPr>
              <w:widowControl/>
              <w:jc w:val="left"/>
              <w:rPr>
                <w:rFonts w:ascii="宋体" w:hAnsi="宋体" w:cs="宋体"/>
                <w:kern w:val="0"/>
              </w:rPr>
            </w:pPr>
            <w:r>
              <w:rPr>
                <w:rFonts w:hint="eastAsia" w:ascii="宋体" w:hAnsi="宋体" w:cs="宋体"/>
                <w:kern w:val="0"/>
              </w:rPr>
              <w:t>如招标文件中需要工程量清单的，必须上传附件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招标文件签名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检测是否可以对招标正文进行正常电子签名。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打包管理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生成招标文件时可以将评标办法、投标文件组成及格式、其他附件等统一打包生成一个招标文件。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下载</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投标人可下载招标文件，且系统记录下载相关信息，并可供招标人或其委托招标代理机构查看。</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内容一致性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检查招标文件中内容与相应标段的有关信息是否一致。</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A-69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w:t>
            </w:r>
            <w:r>
              <w:rPr>
                <w:rFonts w:ascii="宋体" w:hAnsi="宋体" w:cs="宋体"/>
                <w:kern w:val="0"/>
              </w:rPr>
              <w:t xml:space="preserve"> </w:t>
            </w:r>
            <w:r>
              <w:rPr>
                <w:rFonts w:hint="eastAsia" w:ascii="宋体" w:hAnsi="宋体" w:cs="宋体"/>
                <w:kern w:val="0"/>
              </w:rPr>
              <w:t>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推送到公共服务平台。</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A-70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w:t>
            </w:r>
          </w:p>
          <w:p>
            <w:pPr>
              <w:widowControl/>
              <w:jc w:val="center"/>
              <w:rPr>
                <w:rFonts w:ascii="宋体" w:hAnsi="宋体" w:cs="宋体"/>
                <w:kern w:val="0"/>
              </w:rPr>
            </w:pPr>
            <w:r>
              <w:rPr>
                <w:rFonts w:hint="eastAsia" w:ascii="宋体" w:hAnsi="宋体" w:cs="宋体"/>
                <w:kern w:val="0"/>
              </w:rPr>
              <w:t>文件</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资格预审文件创建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根据资格预审文件模板（包括标准文件或示范文本）生成资格预审文件各章节基本内容与格式。</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填写信息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资格预审文件各章节中信息填写功能是否正常。</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获取信息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检查资格预审文件从前述程序中可获取的相关信息是否正常。</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设置资格预审评审办法</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检查评审办法是否可以正常设置，评审条款、评分点能否正常新增、删除、修改，序号不能重复。</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设定资格预审申请文件组成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检查是否可设置资格预审申请文件的各组成部分。</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w:t>
            </w:r>
            <w:r>
              <w:rPr>
                <w:rFonts w:ascii="宋体" w:hAnsi="宋体" w:cs="宋体"/>
                <w:kern w:val="0"/>
              </w:rPr>
              <w:t xml:space="preserve"> </w:t>
            </w:r>
            <w:r>
              <w:rPr>
                <w:rFonts w:hint="eastAsia" w:ascii="宋体" w:hAnsi="宋体" w:cs="宋体"/>
                <w:kern w:val="0"/>
              </w:rPr>
              <w:t>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推送到公共服务平台。</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踏勘现场</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踏勘现场通知基本信息管理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系统能够增、删、改、查、发出踏勘现场通知。</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发送现场踏勘通知提示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应在招标文件规定的时间范围内，对所有已下载招标文件的潜在投标人发送现场踏勘通知提示。</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踏勘现场记录基本信息管理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系统能够增、删、改、查、发出踏勘现场记录功能。</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A-79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w:t>
            </w:r>
          </w:p>
          <w:p>
            <w:pPr>
              <w:widowControl/>
              <w:jc w:val="center"/>
              <w:rPr>
                <w:rFonts w:ascii="宋体" w:hAnsi="宋体" w:cs="宋体"/>
                <w:kern w:val="0"/>
              </w:rPr>
            </w:pPr>
            <w:r>
              <w:rPr>
                <w:rFonts w:hint="eastAsia" w:ascii="宋体" w:hAnsi="宋体" w:cs="宋体"/>
                <w:kern w:val="0"/>
              </w:rPr>
              <w:t>文件/招标文件澄清与修改</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提出澄清问题</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投标人或资格预审申请人可以在招标文件或资格预审文件中规定的时间范围内，编辑、递交澄清问题。</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澄清问题答复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招标人或其委托的招标代理机构可以查看提出的澄清问题，并在规定的时间范围内进行答复。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文件的澄清与修改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系统能够增、删、改、查、发出澄清文件和修改文件。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澄清版本</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澄清与修改可以进行多次，应通过版本号（例如：第1次等）以示区分。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澄清的通知、提醒</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向已获取文件的潜在投标人或资格预审申请人发出通知，并以醒目的方式进行公告。</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文件下载</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潜在投标人或资格预审申请人可下载澄清与修改文件，且数据正确无误。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澄清文件回执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投标人下载澄清与修改文件后，递交回执；可查看该回执。</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招标文件或资格预审文件导入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具备招标文件或资格预审文件导入功能。文件内容正常保存、显示招标文件对投标文件的要求或资格预审文件对资格预审申请文件的要求。</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资格预审申请文件或投标文件编辑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在线或离线编辑、删除、查看资格预审申请文件。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版式文件转换</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具备将投标文件转换成版式文件的功能。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A-89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电子签名、加密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按照招标文件约定的加密方式选择按标段（包）分段或整体加密，并进行电子签名；文件具备防篡改功能。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资格预审申请文件或投标文件递交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在递交截止时间之前进行文件递交。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在递交时间截止后，系统拒绝资格预审申请人</w:t>
            </w:r>
            <w:r>
              <w:rPr>
                <w:rFonts w:ascii="宋体" w:hAnsi="宋体" w:cs="宋体"/>
                <w:kern w:val="0"/>
              </w:rPr>
              <w:t>/</w:t>
            </w:r>
            <w:r>
              <w:rPr>
                <w:rFonts w:hint="eastAsia" w:ascii="宋体" w:hAnsi="宋体" w:cs="宋体"/>
                <w:kern w:val="0"/>
              </w:rPr>
              <w:t>投标人递交、修改和撤回文件。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递交时间截止之后尚未完成传输的文件应当拒绝。</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对文件的主要数据项内容和格式进行校验。</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具备按标段（包）分段或整体递交文件的功能。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具备禁止除资格预审申请人</w:t>
            </w:r>
            <w:r>
              <w:rPr>
                <w:rFonts w:ascii="宋体" w:hAnsi="宋体" w:cs="宋体"/>
                <w:kern w:val="0"/>
              </w:rPr>
              <w:t>/</w:t>
            </w:r>
            <w:r>
              <w:rPr>
                <w:rFonts w:hint="eastAsia" w:ascii="宋体" w:hAnsi="宋体" w:cs="宋体"/>
                <w:kern w:val="0"/>
              </w:rPr>
              <w:t>投标人外的任何人在投标截止前解密、提取文件的功能。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vAlign w:val="center"/>
          </w:tcPr>
          <w:p>
            <w:pPr>
              <w:widowControl/>
              <w:rPr>
                <w:rFonts w:ascii="宋体" w:hAnsi="宋体" w:cs="宋体"/>
                <w:kern w:val="0"/>
              </w:rPr>
            </w:pPr>
            <w:r>
              <w:rPr>
                <w:rFonts w:hint="eastAsia" w:ascii="宋体" w:hAnsi="宋体" w:cs="宋体"/>
                <w:kern w:val="0"/>
              </w:rPr>
              <w:t>截止时间应使用国家授时中心标准时间。</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时间显示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动态显示国家授时中心当前时间。</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修改与撤回</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在递交截止时间之前进行文件补充、修改和撤回。</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A-99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文件校验</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可进行文件接收、校验、按接收时间排序。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投标回执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应具备文件接收回执功能，回执应具备电子签名。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投标保证金</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投标保证金接收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系统记录保证金接收信息。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投标保证金展示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在开标阶段，进行保证金接收情况展示。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符合性校验</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具备按照招标文件要求对投标保证金支付形式、资金到账时间、金额、接收凭证等进行符合性校验的功能。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保证金退回</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中标结果发布后可分别退还未中标人和中标人的保证金。</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开标</w:t>
            </w:r>
          </w:p>
        </w:tc>
        <w:tc>
          <w:tcPr>
            <w:tcW w:w="1418" w:type="dxa"/>
            <w:shd w:val="clear" w:color="000000" w:fill="FFFFFF"/>
            <w:vAlign w:val="center"/>
          </w:tcPr>
          <w:p>
            <w:pPr>
              <w:widowControl/>
              <w:jc w:val="center"/>
              <w:rPr>
                <w:rFonts w:ascii="宋体" w:hAnsi="宋体" w:cs="宋体"/>
                <w:kern w:val="0"/>
              </w:rPr>
            </w:pPr>
            <w:r>
              <w:rPr>
                <w:rFonts w:hint="eastAsia" w:ascii="宋体" w:hAnsi="宋体" w:cs="宋体"/>
                <w:kern w:val="0"/>
              </w:rPr>
              <w:t>签到记录</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在线签到</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已成功递交投标文件的投标人可在线签到。</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开标唱标</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投标人名单</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开标时间未到时，不允许公布投标人名单。</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投标文件检测</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投标文件送达时间显示正确，解密前投标文件标书显示“未启封”或“未解密”。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投标人不足处置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第一次招标时，在投标文件递交截止时间截止后，有效递交投标文件的不足3家，或在投标人加密解密情形下执行在线开标签到的投标人不足3家的，不进入开标程序。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A-109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解密要求</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解密时间段是否正确显示，超过规定解密时间的，禁止进行解密操作。</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解密成功</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按照招标文件约定的解密方式，检查是否能够正常解密投标文件，解密成功后，投标人解密栏显示为“解密成功”，投标文件的解密时间显示正确。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解密失败</w:t>
            </w:r>
          </w:p>
        </w:tc>
        <w:tc>
          <w:tcPr>
            <w:tcW w:w="5244" w:type="dxa"/>
            <w:shd w:val="clear" w:color="000000" w:fill="FFFFFF"/>
            <w:vAlign w:val="center"/>
          </w:tcPr>
          <w:p>
            <w:pPr>
              <w:widowControl/>
              <w:jc w:val="left"/>
              <w:rPr>
                <w:rFonts w:ascii="宋体" w:hAnsi="宋体" w:cs="宋体"/>
                <w:kern w:val="0"/>
              </w:rPr>
            </w:pPr>
            <w:r>
              <w:rPr>
                <w:rFonts w:ascii="宋体" w:hAnsi="宋体" w:cs="宋体"/>
                <w:kern w:val="0"/>
              </w:rPr>
              <w:t>1</w:t>
            </w:r>
            <w:r>
              <w:rPr>
                <w:rFonts w:hint="eastAsia" w:ascii="宋体" w:hAnsi="宋体" w:cs="宋体"/>
                <w:kern w:val="0"/>
              </w:rPr>
              <w:t>、无法解密投标文件，投标人解密栏显示为</w:t>
            </w:r>
            <w:r>
              <w:rPr>
                <w:rFonts w:ascii="宋体" w:hAnsi="宋体" w:cs="宋体"/>
                <w:kern w:val="0"/>
              </w:rPr>
              <w:t>“</w:t>
            </w:r>
            <w:r>
              <w:rPr>
                <w:rFonts w:hint="eastAsia" w:ascii="宋体" w:hAnsi="宋体" w:cs="宋体"/>
                <w:kern w:val="0"/>
              </w:rPr>
              <w:t>解密失败”并作记录。</w:t>
            </w:r>
          </w:p>
          <w:p>
            <w:pPr>
              <w:widowControl/>
              <w:jc w:val="left"/>
              <w:rPr>
                <w:rFonts w:ascii="宋体" w:hAnsi="宋体" w:cs="宋体"/>
                <w:kern w:val="0"/>
              </w:rPr>
            </w:pPr>
            <w:r>
              <w:rPr>
                <w:rFonts w:ascii="宋体" w:hAnsi="宋体" w:cs="宋体"/>
                <w:kern w:val="0"/>
              </w:rPr>
              <w:t>2</w:t>
            </w:r>
            <w:r>
              <w:rPr>
                <w:rFonts w:hint="eastAsia" w:ascii="宋体" w:hAnsi="宋体" w:cs="宋体"/>
                <w:kern w:val="0"/>
              </w:rPr>
              <w:t>、解密失败时按规定的补救方式进行补救。</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唱标</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投标文件成功解密后，能够自动读取招标文件所确定的唱标内容，并进行展示。投标文件解密失败的，不展示其唱标内容。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开标过程记录</w:t>
            </w:r>
          </w:p>
        </w:tc>
        <w:tc>
          <w:tcPr>
            <w:tcW w:w="5244" w:type="dxa"/>
            <w:shd w:val="clear" w:color="000000" w:fill="FFFFFF"/>
            <w:vAlign w:val="center"/>
          </w:tcPr>
          <w:p>
            <w:pPr>
              <w:widowControl/>
              <w:jc w:val="left"/>
              <w:rPr>
                <w:rFonts w:ascii="宋体" w:hAnsi="宋体" w:cs="宋体"/>
                <w:kern w:val="0"/>
              </w:rPr>
            </w:pPr>
            <w:r>
              <w:rPr>
                <w:rFonts w:ascii="宋体" w:hAnsi="宋体" w:cs="宋体"/>
                <w:kern w:val="0"/>
              </w:rPr>
              <w:t>1</w:t>
            </w:r>
            <w:r>
              <w:rPr>
                <w:rFonts w:hint="eastAsia" w:ascii="宋体" w:hAnsi="宋体" w:cs="宋体"/>
                <w:kern w:val="0"/>
              </w:rPr>
              <w:t>、投标人可在系统中查看开标记录表并进行电子签名。</w:t>
            </w:r>
          </w:p>
          <w:p>
            <w:pPr>
              <w:widowControl/>
              <w:jc w:val="left"/>
              <w:rPr>
                <w:rFonts w:ascii="宋体" w:hAnsi="宋体" w:cs="宋体"/>
                <w:kern w:val="0"/>
              </w:rPr>
            </w:pPr>
            <w:r>
              <w:rPr>
                <w:rFonts w:ascii="宋体" w:hAnsi="宋体" w:cs="宋体"/>
                <w:kern w:val="0"/>
              </w:rPr>
              <w:t>2</w:t>
            </w:r>
            <w:r>
              <w:rPr>
                <w:rFonts w:hint="eastAsia" w:ascii="宋体" w:hAnsi="宋体" w:cs="宋体"/>
                <w:kern w:val="0"/>
              </w:rPr>
              <w:t>、开标记录经过电子签名确认后，在交易平台公布并与公共服务平台同步交换。</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开标记录模板</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开标记录模板的增、删、改、查。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A-115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w:t>
            </w:r>
          </w:p>
          <w:p>
            <w:pPr>
              <w:widowControl/>
              <w:jc w:val="center"/>
              <w:rPr>
                <w:rFonts w:ascii="宋体" w:hAnsi="宋体" w:cs="宋体"/>
                <w:kern w:val="0"/>
              </w:rPr>
            </w:pPr>
            <w:r>
              <w:rPr>
                <w:rFonts w:hint="eastAsia" w:ascii="宋体" w:hAnsi="宋体" w:cs="宋体"/>
                <w:kern w:val="0"/>
              </w:rPr>
              <w:t>申请文件的开启</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开启前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开启时间未到时，不允许公布资格预审申请人名单。</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A-116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开启内容检测</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检查当前开启的标段名称、标段编号、招标人、招标机构信息、已上传资格预审申请文件的申请人数量、已签到资格预审申请人数量是否符合要求。</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A-117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资格预审状态显示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资格预审申请文件送达时间显示正确，资格预审申请文件状况显示为“未启封”。</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A-118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开启流程中断条件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已上传资格预审申请文件的申请人小于</w:t>
            </w:r>
            <w:r>
              <w:rPr>
                <w:rFonts w:ascii="宋体" w:hAnsi="宋体" w:cs="宋体"/>
                <w:kern w:val="0"/>
              </w:rPr>
              <w:t>3</w:t>
            </w:r>
            <w:r>
              <w:rPr>
                <w:rFonts w:hint="eastAsia" w:ascii="宋体" w:hAnsi="宋体" w:cs="宋体"/>
                <w:kern w:val="0"/>
              </w:rPr>
              <w:t>家时，醒目提醒并中断开启流程。</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A-119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w:t>
            </w:r>
            <w:r>
              <w:rPr>
                <w:rFonts w:ascii="宋体" w:hAnsi="宋体" w:cs="宋体"/>
                <w:kern w:val="0"/>
              </w:rPr>
              <w:t xml:space="preserve"> </w:t>
            </w:r>
            <w:r>
              <w:rPr>
                <w:rFonts w:hint="eastAsia" w:ascii="宋体" w:hAnsi="宋体" w:cs="宋体"/>
                <w:kern w:val="0"/>
              </w:rPr>
              <w:t>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按照资格预审文件约定的解密方式进行解密，解密成功后，解密状态显示为“解密成功”，申请文件的解密时间显示正确。</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解密文件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已解密的资格预审申请文件可以正常导入开启记录，开启记录包含资格预审申请人名称、开启时间、开启内容等信息，并显示正确。</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开启内容显示条件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资格预审申请文件成功解密后，能够自动读取资格预审文件所确定的开启记录表，并进行展示。资格预审申请文件解密失败的，不向其展示开启记录表。</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解密失败补救</w:t>
            </w:r>
          </w:p>
        </w:tc>
        <w:tc>
          <w:tcPr>
            <w:tcW w:w="5244" w:type="dxa"/>
            <w:shd w:val="clear" w:color="000000" w:fill="FFFFFF"/>
            <w:vAlign w:val="center"/>
          </w:tcPr>
          <w:p>
            <w:pPr>
              <w:widowControl/>
              <w:jc w:val="left"/>
              <w:rPr>
                <w:rFonts w:ascii="宋体" w:hAnsi="宋体" w:cs="宋体"/>
                <w:kern w:val="0"/>
              </w:rPr>
            </w:pPr>
            <w:r>
              <w:rPr>
                <w:rFonts w:ascii="宋体" w:hAnsi="宋体" w:cs="宋体"/>
                <w:kern w:val="0"/>
              </w:rPr>
              <w:t>1</w:t>
            </w:r>
            <w:r>
              <w:rPr>
                <w:rFonts w:hint="eastAsia" w:ascii="宋体" w:hAnsi="宋体" w:cs="宋体"/>
                <w:kern w:val="0"/>
              </w:rPr>
              <w:t>、无法解密资格预审申请文件，申请人解密栏显示为“解密失败”并作记录；</w:t>
            </w:r>
          </w:p>
          <w:p>
            <w:pPr>
              <w:widowControl/>
              <w:jc w:val="left"/>
              <w:rPr>
                <w:rFonts w:ascii="宋体" w:hAnsi="宋体" w:cs="宋体"/>
                <w:kern w:val="0"/>
              </w:rPr>
            </w:pPr>
            <w:r>
              <w:rPr>
                <w:rFonts w:ascii="宋体" w:hAnsi="宋体" w:cs="宋体"/>
                <w:kern w:val="0"/>
              </w:rPr>
              <w:t>2</w:t>
            </w:r>
            <w:r>
              <w:rPr>
                <w:rFonts w:hint="eastAsia" w:ascii="宋体" w:hAnsi="宋体" w:cs="宋体"/>
                <w:kern w:val="0"/>
              </w:rPr>
              <w:t>、解密失败时按资格预审文件规定的补救方式进行补救；</w:t>
            </w:r>
          </w:p>
          <w:p>
            <w:pPr>
              <w:widowControl/>
              <w:jc w:val="left"/>
              <w:rPr>
                <w:rFonts w:ascii="宋体" w:hAnsi="宋体" w:cs="宋体"/>
                <w:kern w:val="0"/>
              </w:rPr>
            </w:pPr>
            <w:r>
              <w:rPr>
                <w:rFonts w:ascii="宋体" w:hAnsi="宋体" w:cs="宋体"/>
                <w:kern w:val="0"/>
              </w:rPr>
              <w:t>3</w:t>
            </w:r>
            <w:r>
              <w:rPr>
                <w:rFonts w:hint="eastAsia" w:ascii="宋体" w:hAnsi="宋体" w:cs="宋体"/>
                <w:kern w:val="0"/>
              </w:rPr>
              <w:t>、资格预审申请文件解密失败的不显示在开启记录表中。</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生成资格预审文件开启记录表</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解密结束后，可生成资格预审文件开启记录表，表格格式正确。</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资格预审文件开启记录表内容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资格预审文件开启记录表中资格预审申请人名称、开启时间、开启内容等显示正确。</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资格预审文件开启记录表电子签名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资格预审申请人可在系统中查看资格预审文件开启记录表并进行电子签名。</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资格预审文件开启记录表发布</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开启记录经过电子签名确认后，在交易平台公布并与公共服务平台同步交换。</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资格预审文件开启记录推送到公共服务平台</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调用公共服务平台接口将资格预审文件开启记录推送到公共服务平台。</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A-128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评标</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评标委员会</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评标委员会组建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提供评标委员会组建功能，可设置评标委员会人数、行政区域代码、专业、等级与组成。</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A-129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连接专家库抽取专家</w:t>
            </w:r>
          </w:p>
        </w:tc>
        <w:tc>
          <w:tcPr>
            <w:tcW w:w="5244" w:type="dxa"/>
            <w:shd w:val="clear" w:color="000000" w:fill="FFFFFF"/>
            <w:vAlign w:val="center"/>
          </w:tcPr>
          <w:p>
            <w:pPr>
              <w:widowControl/>
              <w:jc w:val="left"/>
              <w:rPr>
                <w:rFonts w:ascii="宋体" w:hAnsi="宋体" w:cs="宋体"/>
                <w:kern w:val="0"/>
              </w:rPr>
            </w:pPr>
            <w:r>
              <w:rPr>
                <w:rFonts w:ascii="宋体" w:hAnsi="宋体" w:cs="宋体"/>
                <w:kern w:val="0"/>
              </w:rPr>
              <w:t>1</w:t>
            </w:r>
            <w:r>
              <w:rPr>
                <w:rFonts w:hint="eastAsia" w:ascii="宋体" w:hAnsi="宋体" w:cs="宋体"/>
                <w:kern w:val="0"/>
              </w:rPr>
              <w:t>、向依法建立的专家库发出抽取申请，并通过接口获取专家库反馈的专家名单、通知时间、通知方式；</w:t>
            </w:r>
          </w:p>
          <w:p>
            <w:pPr>
              <w:widowControl/>
              <w:jc w:val="left"/>
              <w:rPr>
                <w:rFonts w:ascii="宋体" w:hAnsi="宋体" w:cs="宋体"/>
                <w:kern w:val="0"/>
              </w:rPr>
            </w:pPr>
            <w:r>
              <w:rPr>
                <w:rFonts w:ascii="宋体" w:hAnsi="宋体" w:cs="宋体"/>
                <w:kern w:val="0"/>
              </w:rPr>
              <w:t>2</w:t>
            </w:r>
            <w:r>
              <w:rPr>
                <w:rFonts w:hint="eastAsia" w:ascii="宋体" w:hAnsi="宋体" w:cs="宋体"/>
                <w:kern w:val="0"/>
              </w:rPr>
              <w:t>、通过公共服务平台向专家库发出抽取申请，并通过接口获取专家库反馈的专家名单、通知时间、通知方式。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评委帐号生成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根据抽取专家结果生成评委帐号或其他身份确认方式，并可新增招标人代表评委帐号或其他身份确认方式。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评委分工设置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进行评委职责分工设置。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评委签到确认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评标委员会成员可凭各自帐号或其他身份确认方式完成签到和身份确认、回避确认。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评委信息保密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中标结果确定前评委信息应保密。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评委考核评价</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评标完成后，可以对评委进行考核评价，并通过公共服务平台递交至专家库。</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评审</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有效招标文件确认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有效招标文件包含招标文件和澄清与修改文件。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评标办法设置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按招标文件确定的评标方法、评审因素和标准设置评审表格和评审项目。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投标文件解析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对投标文件进行解析、分置（如适用）。</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投标文件比对分析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对投标文件与招标文件之间进行符合性比对；对所有投标文件的结构化信息按评审因素进行比对、分析。</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A-139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评委评审</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评委按评审因素进行投标文件的评审。</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辅助评审</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通过计算机对投标文件进行辅助评审或对评标价进行计算。</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发出澄清问题</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评标委员会可选择投标人，编辑澄清内容和答复要求，并向澄清对象发出。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澄清问题答复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澄清对象收到澄清问题后，可编辑澄清答复内容，上传有关附件，并经电子签名后反馈。</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评审汇总</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提供各投标文件评审结果自动汇总的功能。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评审结果排序</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提供对投标人的综合评分或评标价等进行排序的功能。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评审权限控制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提供评审权限设置功能，确保无相应权限者无法查阅或操作相关数据。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评标模板设置</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可按招标项目类型和评标办法设置、维护和管理评标模板。</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校验对比</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可依据招标项目清单、标底总价、分项单价与投标报价进行校验、对比，提示差异。</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异常行为识别</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可检测和辅助分析投标文件，识别异常投标行为。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A-149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打分异常分析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提供评标委员会成员打分结果的检测和辅助分析功能。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评标报告</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编辑评标报告</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可编辑评标报告相关内容。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生成评标报告</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具备生成评标报告和评标委员会成员电子签名功能。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推送评标报告</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可向公共服务平台监督通道推送评标报告数据。</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远程异地</w:t>
            </w:r>
          </w:p>
          <w:p>
            <w:pPr>
              <w:widowControl/>
              <w:jc w:val="center"/>
              <w:rPr>
                <w:rFonts w:ascii="宋体" w:hAnsi="宋体" w:cs="宋体"/>
                <w:kern w:val="0"/>
              </w:rPr>
            </w:pPr>
            <w:r>
              <w:rPr>
                <w:rFonts w:hint="eastAsia" w:ascii="宋体" w:hAnsi="宋体" w:cs="宋体"/>
                <w:kern w:val="0"/>
              </w:rPr>
              <w:t>评标</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视频监控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可对各远程评标室进行实时同步监控。</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安全限制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可对评标电脑的</w:t>
            </w:r>
            <w:r>
              <w:rPr>
                <w:rFonts w:ascii="宋体" w:hAnsi="宋体" w:cs="宋体"/>
                <w:kern w:val="0"/>
              </w:rPr>
              <w:t>Mac</w:t>
            </w:r>
            <w:r>
              <w:rPr>
                <w:rFonts w:hint="eastAsia" w:ascii="宋体" w:hAnsi="宋体" w:cs="宋体"/>
                <w:kern w:val="0"/>
              </w:rPr>
              <w:t>地址、评委</w:t>
            </w:r>
            <w:r>
              <w:rPr>
                <w:rFonts w:ascii="宋体" w:hAnsi="宋体" w:cs="宋体"/>
                <w:kern w:val="0"/>
              </w:rPr>
              <w:t>CA</w:t>
            </w:r>
            <w:r>
              <w:rPr>
                <w:rFonts w:hint="eastAsia" w:ascii="宋体" w:hAnsi="宋体" w:cs="宋体"/>
                <w:kern w:val="0"/>
              </w:rPr>
              <w:t>证书锁等进行限制。</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评委评标限制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评委仅可在参评项目的评标时间段内登录系统进行该项目评标。</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音视频交流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检查评标过程中可通过音视频进行在线交流。</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A-157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w:t>
            </w:r>
          </w:p>
          <w:p>
            <w:pPr>
              <w:widowControl/>
              <w:jc w:val="center"/>
              <w:rPr>
                <w:rFonts w:ascii="宋体" w:hAnsi="宋体" w:cs="宋体"/>
                <w:kern w:val="0"/>
              </w:rPr>
            </w:pPr>
            <w:r>
              <w:rPr>
                <w:rFonts w:hint="eastAsia" w:ascii="宋体" w:hAnsi="宋体" w:cs="宋体"/>
                <w:kern w:val="0"/>
              </w:rPr>
              <w:t>申请文件</w:t>
            </w:r>
          </w:p>
          <w:p>
            <w:pPr>
              <w:widowControl/>
              <w:jc w:val="center"/>
              <w:rPr>
                <w:rFonts w:ascii="宋体" w:hAnsi="宋体" w:cs="宋体"/>
                <w:kern w:val="0"/>
              </w:rPr>
            </w:pPr>
            <w:r>
              <w:rPr>
                <w:rFonts w:hint="eastAsia" w:ascii="宋体" w:hAnsi="宋体" w:cs="宋体"/>
                <w:kern w:val="0"/>
              </w:rPr>
              <w:t>的评审</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资格预审评审委员会管理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资格预审评审委员会管理的检测点同评标委员会管理的相关检测点。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A-158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资格预审申请文件评审</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资格预审申请文件评审的检测点同投标文件评审的相关检测点，但不包括价格评审相关检测点。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A-159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资格预审结果文件管理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资格预审结果文件管理的检测点同评标报告的相关检测点。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A-160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资格预审申请文件的远程异地评审</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资格预审申请文件的远程异地评审的检测点同投标文件远程异地评审的相关检测点。</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A-161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资格预审结果文件推送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可向公共服务平台监督通道推送资格预审结果文件。</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A-162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定标</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中标候选人公示</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中标候选人公示基本信息管理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可对中标候选人公示内容进行增、删、改、查、递交等操作。</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中标候选人公示内容审核</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对中标候选人公示内容的进行审核。</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autoSpaceDE w:val="0"/>
              <w:autoSpaceDN w:val="0"/>
              <w:adjustRightInd w:val="0"/>
              <w:spacing w:line="326" w:lineRule="exact"/>
              <w:ind w:left="158"/>
              <w:jc w:val="left"/>
              <w:rPr>
                <w:rFonts w:ascii="宋体" w:hAnsi="宋体" w:cs="宋体"/>
                <w:kern w:val="0"/>
              </w:rPr>
            </w:pPr>
            <w:r>
              <w:rPr>
                <w:rFonts w:hint="eastAsia" w:ascii="宋体" w:hAnsi="宋体" w:cs="宋体"/>
                <w:kern w:val="0"/>
              </w:rPr>
              <w:t>确认资格预审的申</w:t>
            </w:r>
          </w:p>
          <w:p>
            <w:pPr>
              <w:autoSpaceDE w:val="0"/>
              <w:autoSpaceDN w:val="0"/>
              <w:adjustRightInd w:val="0"/>
              <w:spacing w:line="326" w:lineRule="exact"/>
              <w:ind w:left="158"/>
              <w:jc w:val="left"/>
              <w:rPr>
                <w:rFonts w:ascii="宋体" w:hAnsi="宋体" w:cs="宋体"/>
                <w:kern w:val="0"/>
              </w:rPr>
            </w:pPr>
            <w:r>
              <w:rPr>
                <w:rFonts w:hint="eastAsia" w:ascii="宋体" w:hAnsi="宋体" w:cs="宋体"/>
                <w:kern w:val="0"/>
              </w:rPr>
              <w:t>请人</w:t>
            </w:r>
            <w:r>
              <w:rPr>
                <w:rFonts w:ascii="宋体" w:hAnsi="宋体" w:cs="宋体"/>
                <w:kern w:val="0"/>
              </w:rPr>
              <w:t>/</w:t>
            </w:r>
            <w:r>
              <w:rPr>
                <w:rFonts w:hint="eastAsia" w:ascii="宋体" w:hAnsi="宋体" w:cs="宋体"/>
                <w:kern w:val="0"/>
              </w:rPr>
              <w:t>确认中标人</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资格预审申请人选择</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对资格预审项目，应可设定是否由资格审查委员会确认通过资格预审的申请人。</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A-165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中标人选择</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对招标项目，应可设定是否由评标委员会确定中标人或推荐中标候选人。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招标人资格预审管理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招标人可确认通过资格预审的申请人名单。</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A-167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确认中标人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招标人可从评标委员会推荐的中标候选人中确认中标人。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中标结果</w:t>
            </w:r>
          </w:p>
          <w:p>
            <w:pPr>
              <w:widowControl/>
              <w:jc w:val="center"/>
              <w:rPr>
                <w:rFonts w:ascii="宋体" w:hAnsi="宋体" w:cs="宋体"/>
                <w:kern w:val="0"/>
              </w:rPr>
            </w:pPr>
            <w:r>
              <w:rPr>
                <w:rFonts w:hint="eastAsia" w:ascii="宋体" w:hAnsi="宋体" w:cs="宋体"/>
                <w:kern w:val="0"/>
              </w:rPr>
              <w:t>公告</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中标结果公告编辑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可对中标结果公告内容进行编辑、递交等操作。</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A-169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中标结果公告审核</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对中标结果内容的进行审核。</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中标结果公告发布</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中标结果公告在交易平台发布，并同步推送到公共服务平台。</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中标通知书</w:t>
            </w:r>
          </w:p>
        </w:tc>
        <w:tc>
          <w:tcPr>
            <w:tcW w:w="2024"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编辑通知书</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提供中标通知书和招标结果通知书编辑功能。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具备中标、未中标理由的编辑、确认功能。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验证通知书</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提供对中标通知书和招标结果通知书的递交、验证确认功能，并记录验证人员信息。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推送通知书</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可向公共服务平台推送中标通知书和招标结果通知书信息。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A-175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w:t>
            </w:r>
          </w:p>
          <w:p>
            <w:pPr>
              <w:widowControl/>
              <w:jc w:val="center"/>
              <w:rPr>
                <w:rFonts w:ascii="宋体" w:hAnsi="宋体" w:cs="宋体"/>
                <w:kern w:val="0"/>
              </w:rPr>
            </w:pPr>
            <w:r>
              <w:rPr>
                <w:rFonts w:hint="eastAsia" w:ascii="宋体" w:hAnsi="宋体" w:cs="宋体"/>
                <w:kern w:val="0"/>
              </w:rPr>
              <w:t>结果通知书</w:t>
            </w:r>
          </w:p>
        </w:tc>
        <w:tc>
          <w:tcPr>
            <w:tcW w:w="2024"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资格预审结果编辑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对资格预审结果进行编辑。</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A-176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vMerge w:val="continue"/>
            <w:shd w:val="clear" w:color="auto" w:fill="auto"/>
            <w:vAlign w:val="center"/>
          </w:tcPr>
          <w:p>
            <w:pPr>
              <w:widowControl/>
              <w:jc w:val="center"/>
              <w:rPr>
                <w:rFonts w:ascii="宋体" w:hAnsi="宋体" w:cs="宋体"/>
                <w:kern w:val="0"/>
              </w:rPr>
            </w:pPr>
          </w:p>
        </w:tc>
        <w:tc>
          <w:tcPr>
            <w:tcW w:w="5244" w:type="dxa"/>
            <w:shd w:val="clear" w:color="000000" w:fill="FFFFFF"/>
          </w:tcPr>
          <w:p>
            <w:pPr>
              <w:widowControl/>
              <w:jc w:val="left"/>
              <w:rPr>
                <w:rFonts w:ascii="宋体" w:hAnsi="宋体" w:cs="宋体"/>
                <w:kern w:val="0"/>
              </w:rPr>
            </w:pPr>
            <w:r>
              <w:rPr>
                <w:rFonts w:hint="eastAsia" w:ascii="宋体" w:hAnsi="宋体" w:cs="宋体"/>
                <w:kern w:val="0"/>
              </w:rPr>
              <w:t>对资格预审通过、未通过理由进行编辑、确认。</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A-177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验证通知书</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提供对资格预审结果通知书的递交、验证确认功能，并记录验证人员信息。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A-178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推送通知书</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可向公共服务平台推送资格预审通知书信息。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A-179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合同</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合同与标段(包)关联</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对合同与招标项目标段（包）的进行关联。</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提供合同编辑功能。</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合同验证确认</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提供合同的验证确认功能，并记录验证人和验证时间信息。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A-182</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合同电子签名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对合同进行电子签名。</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合同信息推送</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向公共服务平台推送合同信息。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A-184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合同履约录入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检查招标人是否可录入项目履约情况。</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履约录入</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检查中标人是否可录入项目履约情况。</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A-186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费用管理</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费用管理</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费用缴纳与退还</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投标人可缴纳资格预审文件费用、招标文件费用、投标保证金，并提供资格预审文件费用、招标文件费用、投标保证金及其利息退还功能。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A-187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交易服务费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中标人或招标人可以缴纳交易服务费。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A-188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履约保证金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中标人可向招标人缴纳履约保证金，并提供履约保证金退还功能。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A-189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代理服务费</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中标人或招标人可向招标代理机构缴纳招标代理服务费。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评标专家咨询费</w:t>
            </w:r>
            <w:r>
              <w:rPr>
                <w:rFonts w:ascii="宋体" w:hAnsi="宋体" w:cs="宋体"/>
                <w:kern w:val="0"/>
              </w:rPr>
              <w:t>支付</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招标人或招标代理机构可支付评标专家咨询费。</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图纸押金收退</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招标人或招标代理机构可收取或退回图纸押金。</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网上缴纳</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若提供网上缴纳功能，验证其网上缴纳功能是否可用。</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支付结算方式</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检查各种费用支付结算时选择多种方式。</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异议</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招标异议</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异议提出</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投标人或其利害关系人可对资格预审文件、招标文件、开标过程、资格预审结果、评标结果提出异议；系统对超过期限递交的异议给出提示。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异议答复</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招标人或招标代理机构在规定时间内向相关投标人或利害关系人进行异议答复。</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招标异常</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招标异常编辑</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提供招标异常信息（招标终止、重新招标、重新评标、变更招标方式等）编辑功能。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招标异常终止</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提供招标项目招标终止功能。</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变更为非招标方式的处理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招标项目按有关规定改用非招标方式后，记录其他交易方式和成交结果。</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A-199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存档归档</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存档、归档</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存档查阅</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对招标投标数据和文件、活动记录（招投标过程中操作人员和时间）等进行存档信息，可查阅。</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A-200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档案管理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对存档信息进行分类、整理和归档。</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A-201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交易平台信息资源库</w:t>
            </w: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招标项目信息库</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招标项目基本信息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查询招标项目信息。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A-202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标段（包）与中标信息关联关系</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查询标段（包）与中标信息关联。</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A-203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招标项目时间信息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招标项目相关时间信息的建立和维护。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A-204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招标人</w:t>
            </w:r>
          </w:p>
          <w:p>
            <w:pPr>
              <w:widowControl/>
              <w:jc w:val="center"/>
              <w:rPr>
                <w:rFonts w:ascii="宋体" w:hAnsi="宋体" w:cs="宋体"/>
                <w:kern w:val="0"/>
              </w:rPr>
            </w:pPr>
            <w:r>
              <w:rPr>
                <w:rFonts w:hint="eastAsia" w:ascii="宋体" w:hAnsi="宋体" w:cs="宋体"/>
                <w:kern w:val="0"/>
              </w:rPr>
              <w:t>信息库</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招标人基本信息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查询招标人的信息。</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招标人考评</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对招标人招标业绩、奖惩、履约记录的信息进行管理。</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招标人综合管理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对招标人信息进行查询和统计分析。</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A-207</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招标代理</w:t>
            </w:r>
          </w:p>
          <w:p>
            <w:pPr>
              <w:widowControl/>
              <w:jc w:val="center"/>
              <w:rPr>
                <w:rFonts w:ascii="宋体" w:hAnsi="宋体" w:cs="宋体"/>
                <w:kern w:val="0"/>
              </w:rPr>
            </w:pPr>
            <w:r>
              <w:rPr>
                <w:rFonts w:hint="eastAsia" w:ascii="宋体" w:hAnsi="宋体" w:cs="宋体"/>
                <w:kern w:val="0"/>
              </w:rPr>
              <w:t>机构信息库</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招标代理机构基本信息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对招标代理机构信息进行查询。</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A-208</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招标代理机构考评</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对招标代理机构电子招标业绩、奖惩记录和履约记录的信息进行管理。</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A-209</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招标职业资格人员信息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对查询招标代理机构招标职业资格人员信息进行管理。</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A-210</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招标代理机构综合管理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对招标代理机构信息进行查询和统计分析。</w:t>
            </w:r>
          </w:p>
        </w:tc>
        <w:tc>
          <w:tcPr>
            <w:tcW w:w="1343" w:type="dxa"/>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cs="宋体"/>
                <w:kern w:val="0"/>
              </w:rPr>
              <w:t>A-211</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投标人</w:t>
            </w:r>
          </w:p>
          <w:p>
            <w:pPr>
              <w:widowControl/>
              <w:jc w:val="center"/>
              <w:rPr>
                <w:rFonts w:ascii="宋体" w:hAnsi="宋体" w:cs="宋体"/>
                <w:kern w:val="0"/>
              </w:rPr>
            </w:pPr>
            <w:r>
              <w:rPr>
                <w:rFonts w:hint="eastAsia" w:ascii="宋体" w:hAnsi="宋体" w:cs="宋体"/>
                <w:kern w:val="0"/>
              </w:rPr>
              <w:t>信息库</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对投标人信息进行查询。</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投标人考评</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对投标人中标业绩、奖惩和履约记录的信息进行管理。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A-213</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投标人综合管理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对投标人信息进行查询和统计分析。</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A-214</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投标人黑名单</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对投标人黑名单进行建立和管理。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A-215</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投标人专业职业资格人员基本信息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对投标人专业职业资格人员信息进行查询。</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A-216</w:t>
            </w:r>
          </w:p>
        </w:tc>
        <w:tc>
          <w:tcPr>
            <w:tcW w:w="1209" w:type="dxa"/>
            <w:shd w:val="clear" w:color="000000" w:fill="FFFFFF"/>
            <w:vAlign w:val="center"/>
          </w:tcPr>
          <w:p>
            <w:pPr>
              <w:widowControl/>
              <w:jc w:val="center"/>
              <w:rPr>
                <w:rFonts w:ascii="宋体" w:hAnsi="宋体" w:cs="宋体"/>
                <w:kern w:val="0"/>
              </w:rPr>
            </w:pP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专家信息库（如有）</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专家基本信息管理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对专家信息进行增、删、改、查。</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A-217</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信息完整性</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记录专家信息入库、变更和审核验证的时间以及责任人。</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A-218</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抽取回避</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专家回避情形和单位列表建立和维护。</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A-219</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专家抽取</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按地区、专业等随机抽取专家和记录专家信息。</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A-220</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专家考评</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对专家评标业绩、奖惩和培训记录的信息进行管理。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A-221</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专家状态管理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对专家审核、入库、暂停、退出状态进行管理。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A-222</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专家自荐</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对专家自荐入库信息进行管理。</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A-223</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推荐专家</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向公共服务平台专家库推荐专家入库。</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A-224</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restart"/>
            <w:shd w:val="clear" w:color="000000" w:fill="FFFFFF"/>
            <w:vAlign w:val="center"/>
          </w:tcPr>
          <w:p>
            <w:pPr>
              <w:widowControl/>
              <w:jc w:val="center"/>
              <w:rPr>
                <w:rFonts w:ascii="宋体" w:hAnsi="宋体" w:cs="宋体"/>
                <w:kern w:val="0"/>
              </w:rPr>
            </w:pPr>
            <w:r>
              <w:rPr>
                <w:rFonts w:hint="eastAsia" w:ascii="宋体" w:hAnsi="宋体" w:cs="宋体"/>
                <w:kern w:val="0"/>
              </w:rPr>
              <w:t>价格信息库</w:t>
            </w: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单价信息</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对工程、货物、服务分类分项单价信息进行收集、整理、维护和查询。</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A-225</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276" w:type="dxa"/>
            <w:vMerge w:val="continue"/>
            <w:shd w:val="clear" w:color="auto" w:fill="auto"/>
            <w:vAlign w:val="center"/>
          </w:tcPr>
          <w:p>
            <w:pPr>
              <w:widowControl/>
              <w:jc w:val="center"/>
              <w:rPr>
                <w:rFonts w:ascii="宋体" w:hAnsi="宋体" w:cs="宋体"/>
                <w:kern w:val="0"/>
              </w:rPr>
            </w:pPr>
          </w:p>
        </w:tc>
        <w:tc>
          <w:tcPr>
            <w:tcW w:w="1418" w:type="dxa"/>
            <w:vMerge w:val="continue"/>
            <w:shd w:val="clear" w:color="auto" w:fill="auto"/>
            <w:vAlign w:val="center"/>
          </w:tcPr>
          <w:p>
            <w:pPr>
              <w:widowControl/>
              <w:jc w:val="center"/>
              <w:rPr>
                <w:rFonts w:ascii="宋体" w:hAnsi="宋体" w:cs="宋体"/>
                <w:kern w:val="0"/>
              </w:rPr>
            </w:pPr>
          </w:p>
        </w:tc>
        <w:tc>
          <w:tcPr>
            <w:tcW w:w="2024" w:type="dxa"/>
            <w:shd w:val="clear" w:color="000000" w:fill="FFFFFF"/>
            <w:vAlign w:val="center"/>
          </w:tcPr>
          <w:p>
            <w:pPr>
              <w:widowControl/>
              <w:jc w:val="center"/>
              <w:rPr>
                <w:rFonts w:ascii="宋体" w:hAnsi="宋体" w:cs="宋体"/>
                <w:kern w:val="0"/>
              </w:rPr>
            </w:pPr>
            <w:r>
              <w:rPr>
                <w:rFonts w:hint="eastAsia" w:ascii="宋体" w:hAnsi="宋体" w:cs="宋体"/>
                <w:kern w:val="0"/>
              </w:rPr>
              <w:t>价格综合管理</w:t>
            </w:r>
          </w:p>
        </w:tc>
        <w:tc>
          <w:tcPr>
            <w:tcW w:w="5244" w:type="dxa"/>
            <w:shd w:val="clear" w:color="000000" w:fill="FFFFFF"/>
            <w:vAlign w:val="center"/>
          </w:tcPr>
          <w:p>
            <w:pPr>
              <w:widowControl/>
              <w:jc w:val="left"/>
              <w:rPr>
                <w:rFonts w:ascii="宋体" w:hAnsi="宋体" w:cs="宋体"/>
                <w:kern w:val="0"/>
              </w:rPr>
            </w:pPr>
            <w:r>
              <w:rPr>
                <w:rFonts w:hint="eastAsia" w:ascii="宋体" w:hAnsi="宋体" w:cs="宋体"/>
                <w:kern w:val="0"/>
              </w:rPr>
              <w:t>对价格进行统计分析。</w:t>
            </w:r>
          </w:p>
        </w:tc>
        <w:tc>
          <w:tcPr>
            <w:tcW w:w="1343" w:type="dxa"/>
            <w:shd w:val="clear" w:color="000000" w:fill="FFFFFF"/>
            <w:vAlign w:val="center"/>
          </w:tcPr>
          <w:p>
            <w:pPr>
              <w:widowControl/>
              <w:jc w:val="center"/>
              <w:rPr>
                <w:rFonts w:ascii="宋体" w:hAnsi="宋体" w:cs="宋体"/>
                <w:kern w:val="0"/>
              </w:rPr>
            </w:pPr>
            <w:r>
              <w:rPr>
                <w:rFonts w:ascii="宋体" w:hAnsi="宋体" w:cs="宋体"/>
                <w:kern w:val="0"/>
              </w:rPr>
              <w:t>A-226</w:t>
            </w:r>
          </w:p>
        </w:tc>
        <w:tc>
          <w:tcPr>
            <w:tcW w:w="1209" w:type="dxa"/>
            <w:shd w:val="clear" w:color="000000" w:fill="FFFFFF"/>
            <w:vAlign w:val="center"/>
          </w:tcPr>
          <w:p>
            <w:pPr>
              <w:widowControl/>
              <w:jc w:val="center"/>
              <w:rPr>
                <w:rFonts w:ascii="宋体" w:hAnsi="宋体" w:cs="宋体"/>
                <w:kern w:val="0"/>
              </w:rPr>
            </w:pPr>
            <w:r>
              <w:rPr>
                <w:rFonts w:ascii="宋体" w:hAnsi="宋体" w:cs="宋体"/>
                <w:kern w:val="0"/>
              </w:rPr>
              <w:t>★★</w:t>
            </w:r>
            <w:r>
              <w:rPr>
                <w:rFonts w:hint="eastAsia" w:ascii="宋体" w:hAnsi="宋体" w:cs="宋体"/>
                <w:kern w:val="0"/>
              </w:rPr>
              <w:t>★</w:t>
            </w:r>
          </w:p>
        </w:tc>
        <w:tc>
          <w:tcPr>
            <w:tcW w:w="1559" w:type="dxa"/>
            <w:shd w:val="clear" w:color="000000" w:fill="FFFFFF"/>
            <w:vAlign w:val="center"/>
          </w:tcPr>
          <w:p>
            <w:pPr>
              <w:widowControl/>
              <w:jc w:val="center"/>
              <w:rPr>
                <w:rFonts w:ascii="宋体" w:hAnsi="宋体" w:cs="宋体"/>
                <w:kern w:val="0"/>
              </w:rPr>
            </w:pPr>
          </w:p>
        </w:tc>
      </w:tr>
    </w:tbl>
    <w:p>
      <w:pPr>
        <w:spacing w:line="360" w:lineRule="auto"/>
        <w:jc w:val="left"/>
        <w:rPr>
          <w:rFonts w:ascii="黑体" w:hAnsi="黑体" w:eastAsia="黑体"/>
        </w:rPr>
      </w:pPr>
    </w:p>
    <w:p>
      <w:pPr>
        <w:widowControl/>
        <w:jc w:val="center"/>
        <w:rPr>
          <w:rFonts w:ascii="宋体" w:hAnsi="宋体" w:cs="宋体"/>
          <w:b/>
          <w:kern w:val="0"/>
          <w:sz w:val="28"/>
        </w:rPr>
      </w:pPr>
      <w:r>
        <w:rPr>
          <w:rFonts w:ascii="宋体" w:hAnsi="宋体" w:cs="宋体"/>
          <w:b/>
          <w:kern w:val="0"/>
          <w:sz w:val="28"/>
        </w:rPr>
        <w:t>交易平台业务规则检测要求表</w:t>
      </w:r>
    </w:p>
    <w:tbl>
      <w:tblPr>
        <w:tblStyle w:val="25"/>
        <w:tblW w:w="14175" w:type="dxa"/>
        <w:jc w:val="center"/>
        <w:tblLayout w:type="fixed"/>
        <w:tblCellMar>
          <w:top w:w="0" w:type="dxa"/>
          <w:left w:w="108" w:type="dxa"/>
          <w:bottom w:w="0" w:type="dxa"/>
          <w:right w:w="108" w:type="dxa"/>
        </w:tblCellMar>
      </w:tblPr>
      <w:tblGrid>
        <w:gridCol w:w="1336"/>
        <w:gridCol w:w="2365"/>
        <w:gridCol w:w="6504"/>
        <w:gridCol w:w="1241"/>
        <w:gridCol w:w="1371"/>
        <w:gridCol w:w="1358"/>
      </w:tblGrid>
      <w:tr>
        <w:tblPrEx>
          <w:tblCellMar>
            <w:top w:w="0" w:type="dxa"/>
            <w:left w:w="108" w:type="dxa"/>
            <w:bottom w:w="0" w:type="dxa"/>
            <w:right w:w="108" w:type="dxa"/>
          </w:tblCellMar>
        </w:tblPrEx>
        <w:trPr>
          <w:trHeight w:val="567" w:hRule="atLeast"/>
          <w:tblHeader/>
          <w:jc w:val="center"/>
        </w:trPr>
        <w:tc>
          <w:tcPr>
            <w:tcW w:w="1282"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0"/>
              </w:rPr>
            </w:pPr>
            <w:r>
              <w:rPr>
                <w:rFonts w:hint="eastAsia" w:ascii="宋体" w:hAnsi="宋体" w:cs="宋体"/>
                <w:b/>
                <w:kern w:val="0"/>
              </w:rPr>
              <w:t>功能模块</w:t>
            </w:r>
          </w:p>
        </w:tc>
        <w:tc>
          <w:tcPr>
            <w:tcW w:w="2268" w:type="dxa"/>
            <w:tcBorders>
              <w:top w:val="single" w:color="000000" w:sz="8" w:space="0"/>
              <w:left w:val="nil"/>
              <w:bottom w:val="single" w:color="000000" w:sz="8" w:space="0"/>
              <w:right w:val="single" w:color="000000" w:sz="8" w:space="0"/>
            </w:tcBorders>
            <w:vAlign w:val="center"/>
          </w:tcPr>
          <w:p>
            <w:pPr>
              <w:widowControl/>
              <w:jc w:val="center"/>
              <w:rPr>
                <w:rFonts w:ascii="宋体" w:hAnsi="宋体" w:cs="宋体"/>
                <w:b/>
                <w:kern w:val="0"/>
              </w:rPr>
            </w:pPr>
            <w:r>
              <w:rPr>
                <w:rFonts w:hint="eastAsia" w:ascii="宋体" w:hAnsi="宋体" w:cs="宋体"/>
                <w:b/>
                <w:kern w:val="0"/>
              </w:rPr>
              <w:t>检测对象</w:t>
            </w:r>
          </w:p>
        </w:tc>
        <w:tc>
          <w:tcPr>
            <w:tcW w:w="6237" w:type="dxa"/>
            <w:tcBorders>
              <w:top w:val="single" w:color="000000" w:sz="8" w:space="0"/>
              <w:left w:val="nil"/>
              <w:bottom w:val="single" w:color="000000" w:sz="8" w:space="0"/>
              <w:right w:val="single" w:color="auto" w:sz="8" w:space="0"/>
            </w:tcBorders>
            <w:vAlign w:val="center"/>
          </w:tcPr>
          <w:p>
            <w:pPr>
              <w:widowControl/>
              <w:jc w:val="center"/>
              <w:rPr>
                <w:rFonts w:ascii="宋体" w:hAnsi="宋体" w:cs="宋体"/>
                <w:b/>
                <w:kern w:val="0"/>
              </w:rPr>
            </w:pPr>
            <w:r>
              <w:rPr>
                <w:rFonts w:hint="eastAsia" w:ascii="宋体" w:hAnsi="宋体" w:cs="宋体"/>
                <w:b/>
                <w:kern w:val="0"/>
              </w:rPr>
              <w:t>检测准则/指标</w:t>
            </w:r>
          </w:p>
        </w:tc>
        <w:tc>
          <w:tcPr>
            <w:tcW w:w="1190"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
                <w:kern w:val="0"/>
              </w:rPr>
            </w:pPr>
            <w:r>
              <w:rPr>
                <w:rFonts w:hint="eastAsia" w:ascii="宋体" w:hAnsi="宋体" w:cs="宋体"/>
                <w:b/>
                <w:kern w:val="0"/>
              </w:rPr>
              <w:t>检测序号</w:t>
            </w:r>
          </w:p>
        </w:tc>
        <w:tc>
          <w:tcPr>
            <w:tcW w:w="131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
                <w:kern w:val="0"/>
              </w:rPr>
            </w:pPr>
            <w:r>
              <w:rPr>
                <w:rFonts w:hint="eastAsia" w:ascii="宋体" w:hAnsi="宋体" w:cs="宋体"/>
                <w:b/>
                <w:kern w:val="0"/>
              </w:rPr>
              <w:t>对应星级</w:t>
            </w:r>
          </w:p>
        </w:tc>
        <w:tc>
          <w:tcPr>
            <w:tcW w:w="1302"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b/>
                <w:kern w:val="0"/>
              </w:rPr>
            </w:pPr>
            <w:r>
              <w:rPr>
                <w:rFonts w:hint="eastAsia" w:ascii="宋体" w:hAnsi="宋体" w:cs="宋体"/>
                <w:b/>
                <w:kern w:val="0"/>
              </w:rPr>
              <w:t>是否适用</w:t>
            </w: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招标公告</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指定媒介发布</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招标公告在交易平台及其对接的公共服务平台同步发布，对依法必须进行招标的项目，必须在国家指定的信息网络同步发布。</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B-001</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明确交易平台的地址和方法</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招标人或者其委托的招标代理机构应当在招标公告中载明潜在投标人访问电子招标投标交易平台的网络地址和方法。</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B-002</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内容一致性</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交易平台应当具备向不同媒介发布的招标公告内容保持一致的控制功能。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B-003</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公告发布时间段</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依法必须进行招标的项目或政府采购中货物和服务项目实行招标方式采购的，交易平台应具备招标文件出售开始时间离开标时间不少于20日的控制功能(最后一天是法定节假日的，开标时间应当顺延至节假日后的次日)。</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B-004</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格式标准化</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招标公告应该符合国家有关部委颁发的标准文本的要求。</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B-005</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投标</w:t>
            </w:r>
          </w:p>
          <w:p>
            <w:pPr>
              <w:jc w:val="center"/>
              <w:rPr>
                <w:rFonts w:ascii="宋体" w:hAnsi="宋体" w:cs="宋体"/>
              </w:rPr>
            </w:pPr>
            <w:r>
              <w:rPr>
                <w:rFonts w:hint="eastAsia" w:ascii="宋体" w:hAnsi="宋体"/>
              </w:rPr>
              <w:t>邀请书</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不少于</w:t>
            </w:r>
            <w:r>
              <w:rPr>
                <w:rFonts w:ascii="宋体" w:hAnsi="宋体"/>
              </w:rPr>
              <w:t>3</w:t>
            </w:r>
            <w:r>
              <w:rPr>
                <w:rFonts w:hint="eastAsia" w:ascii="宋体" w:hAnsi="宋体"/>
              </w:rPr>
              <w:t>家的控制功能</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符合邀请招标条件的项目，招标人应当向三家以上具备承担招标项目的能力、资信良好的特定的法人或者其他组织发出投标邀请书。交易平台应当设定邀请对象不少于3家的控制功能。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B-006</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对采取资格预审的政府采购货物或服务的项目特殊规定</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对采取资格预审的政府采购货物或服务的项目，招标人在评审合格投标人中通过随机方式选择3家以上的投标人，并向其发出投标邀请书。</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B-007</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明确交易平台的地址和方法</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招标人或者其委托的招标代理机构应当在投标邀请书中载明潜在投标人访问电子招标投标交易平台的网络地址和方法。</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B-008</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招标文件</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发售时间要求</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招标人应当按照招标公告规定的时间发售招标文件，发售期不少于5日。</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B-009</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发售时间特殊要求</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对机电产品国际招标项目或政府采购项目，发售期不得少于5个工作日。</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B-010</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招标文件要求澄清的问题</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澄清问题的时间规定</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投标人对招标文件有异议的，交易平台应当具备在投标截止时间10日前提出澄清的控制功能。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B-011</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招标文件澄清与</w:t>
            </w:r>
          </w:p>
          <w:p>
            <w:pPr>
              <w:jc w:val="center"/>
              <w:rPr>
                <w:rFonts w:ascii="宋体" w:hAnsi="宋体"/>
              </w:rPr>
            </w:pPr>
            <w:r>
              <w:rPr>
                <w:rFonts w:hint="eastAsia" w:ascii="宋体" w:hAnsi="宋体"/>
              </w:rPr>
              <w:t>修改</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招标文件澄清与修改时间规定</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交易平台应当具备招标人在投标截止时间</w:t>
            </w:r>
            <w:r>
              <w:rPr>
                <w:rFonts w:ascii="宋体" w:hAnsi="宋体"/>
              </w:rPr>
              <w:t>15</w:t>
            </w:r>
            <w:r>
              <w:rPr>
                <w:rFonts w:hint="eastAsia" w:ascii="宋体" w:hAnsi="宋体"/>
              </w:rPr>
              <w:t>日前提交澄清与修改的控制功能。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B-012</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通知</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招标人应当以数据电文等有效形式通知所有获取招标文件的潜在投标人。</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B-013</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醒目方式公告</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招标文件进行澄清或者修改的，应当通过电子招标投标交易平台以醒目的方式公告澄清或者修改的内容，并同步发布到与其对接的公共服务平台。</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B-014</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澄清与修改内容补充到招标文件</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交易平台应当将澄清与修改内容作为招标文件的一部分。</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B-015</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开标记录</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投标保障</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交易平台应当具备在开标时间前，任何单位和个人不得解密投标文件的控制功能。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B-016</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开标记录公布</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开标记录应当在交易平台和与其对接的公共服务平台同步公布（依法应当保密的除外）。</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B-017</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投标人数量控制</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交易平台应当具备针对第一次招标的项目，投标人数量少于3个不得开标的控制功能。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B-018</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投标文件解密</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应具备招标人和投标人按照招标文件约定的解密方式解密投标文件以及解密失败时按规定补救方式执行的功能。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B-019</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评标委员会成员</w:t>
            </w:r>
          </w:p>
        </w:tc>
        <w:tc>
          <w:tcPr>
            <w:tcW w:w="2268" w:type="dxa"/>
            <w:vMerge w:val="restart"/>
            <w:tcBorders>
              <w:top w:val="nil"/>
              <w:left w:val="single" w:color="000000" w:sz="8" w:space="0"/>
              <w:bottom w:val="single" w:color="000000" w:sz="8" w:space="0"/>
              <w:right w:val="single" w:color="000000" w:sz="8" w:space="0"/>
            </w:tcBorders>
            <w:shd w:val="clear" w:color="000000" w:fill="FFFFFF"/>
            <w:vAlign w:val="center"/>
          </w:tcPr>
          <w:p>
            <w:pPr>
              <w:widowControl/>
              <w:jc w:val="center"/>
              <w:rPr>
                <w:rFonts w:ascii="宋体" w:hAnsi="宋体"/>
              </w:rPr>
            </w:pPr>
            <w:r>
              <w:rPr>
                <w:rFonts w:hint="eastAsia" w:ascii="宋体" w:hAnsi="宋体"/>
              </w:rPr>
              <w:t>专家组成要求</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交易平台应当具备对依法必须进行的招标项目，评标委员会成员人数为五人以上单数的控制功能。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B-020</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6237" w:type="dxa"/>
            <w:tcBorders>
              <w:top w:val="nil"/>
              <w:left w:val="nil"/>
              <w:bottom w:val="single" w:color="000000" w:sz="8" w:space="0"/>
              <w:right w:val="single" w:color="auto" w:sz="8" w:space="0"/>
            </w:tcBorders>
            <w:shd w:val="clear" w:color="000000" w:fill="FFFFFF"/>
          </w:tcPr>
          <w:p>
            <w:pPr>
              <w:widowControl/>
              <w:jc w:val="left"/>
              <w:rPr>
                <w:rFonts w:ascii="宋体" w:hAnsi="宋体" w:cs="宋体"/>
                <w:kern w:val="0"/>
              </w:rPr>
            </w:pPr>
            <w:r>
              <w:rPr>
                <w:rFonts w:hint="eastAsia" w:ascii="宋体" w:hAnsi="宋体"/>
              </w:rPr>
              <w:t>对依法必须进行的招标项目，交易平台应当具备设置技术、经济等方面的专家不得少于成员总数的三分之二，招标人代表不多于三分之一的控制功能。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B-021</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6237" w:type="dxa"/>
            <w:tcBorders>
              <w:top w:val="nil"/>
              <w:left w:val="nil"/>
              <w:bottom w:val="single" w:color="000000" w:sz="8" w:space="0"/>
              <w:right w:val="single" w:color="auto" w:sz="8" w:space="0"/>
            </w:tcBorders>
            <w:shd w:val="clear" w:color="000000" w:fill="FFFFFF"/>
          </w:tcPr>
          <w:p>
            <w:pPr>
              <w:widowControl/>
              <w:jc w:val="left"/>
              <w:rPr>
                <w:rFonts w:ascii="宋体" w:hAnsi="宋体" w:cs="宋体"/>
                <w:kern w:val="0"/>
              </w:rPr>
            </w:pPr>
            <w:r>
              <w:rPr>
                <w:rFonts w:hint="eastAsia" w:ascii="宋体" w:hAnsi="宋体"/>
              </w:rPr>
              <w:t>针对水利工程建设项目，评标委员会成员人数为七人以上单数的控制功能。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B-022</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评标</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评审的投标文件与投标人解密的投标文件一致性</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交易平台应当具备评审的投标文件和投标人解密的投标文件一致的控制功能。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B-023</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不足三家合格投标人的废标控制功能</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对政府采购项目，交易平台应当具备对符合专业条件的供应商或者对招标文件作实质响应的供应商不足三家时的废标控制功能。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B-024</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评标办法适用</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评标办法的设置应当满足对应的项目适用的规章的要求。</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B-025</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中标</w:t>
            </w:r>
          </w:p>
          <w:p>
            <w:pPr>
              <w:jc w:val="center"/>
              <w:rPr>
                <w:rFonts w:ascii="宋体" w:hAnsi="宋体" w:cs="宋体"/>
              </w:rPr>
            </w:pPr>
            <w:r>
              <w:rPr>
                <w:rFonts w:hint="eastAsia" w:ascii="宋体" w:hAnsi="宋体"/>
              </w:rPr>
              <w:t>候选人</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中标候选人数量</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交易平台应当具备中标候选人不得超过</w:t>
            </w:r>
            <w:r>
              <w:rPr>
                <w:rFonts w:ascii="宋体" w:hAnsi="宋体"/>
              </w:rPr>
              <w:t>3</w:t>
            </w:r>
            <w:r>
              <w:rPr>
                <w:rFonts w:hint="eastAsia" w:ascii="宋体" w:hAnsi="宋体"/>
              </w:rPr>
              <w:t>个（通信工程建设项目招标投标中的集中招标除外），并标明排序的控制功能。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B-026</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确定中标人</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对国有资金占控股或者主导地位的依法必须进行招标的项目，交易平台应当设置确定排名第一的中标候选人为中标人的控制功能。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B-027</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中标候选人公示/中标结果公告</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公示时间规定</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交易平台应当具备对依法必须进行的招标项目的中标候选人公示时间自公示发出之日起不少于3日控制功能。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B-028</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公示平台规定</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依法必须进行招标的项目中标候选人和中标结果应当在电子招标投标交易平台进行公示和公布，并同步发布到与其对接的公共服务平台的功能。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ascii="宋体" w:hAnsi="宋体"/>
              </w:rPr>
              <w:t>B-029</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异议</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提出异议</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rPr>
            </w:pPr>
            <w:r>
              <w:rPr>
                <w:rFonts w:hint="eastAsia" w:ascii="宋体" w:hAnsi="宋体"/>
              </w:rPr>
              <w:t>交易平台应当具备以下控制功能：</w:t>
            </w:r>
          </w:p>
          <w:p>
            <w:pPr>
              <w:jc w:val="left"/>
              <w:rPr>
                <w:rFonts w:ascii="宋体" w:hAnsi="宋体"/>
              </w:rPr>
            </w:pPr>
            <w:r>
              <w:rPr>
                <w:rFonts w:hint="eastAsia" w:ascii="宋体" w:hAnsi="宋体"/>
              </w:rPr>
              <w:t>1、对资格预审文件有异议的，在提交资格预审申请文件截止时间2日前提出；</w:t>
            </w:r>
          </w:p>
          <w:p>
            <w:pPr>
              <w:jc w:val="left"/>
              <w:rPr>
                <w:rFonts w:ascii="宋体" w:hAnsi="宋体"/>
              </w:rPr>
            </w:pPr>
            <w:r>
              <w:rPr>
                <w:rFonts w:hint="eastAsia" w:ascii="宋体" w:hAnsi="宋体"/>
              </w:rPr>
              <w:t>2、对招标文件有异议的，应当在投标截止时间10日前提出；</w:t>
            </w:r>
          </w:p>
          <w:p>
            <w:pPr>
              <w:jc w:val="left"/>
              <w:rPr>
                <w:rFonts w:ascii="宋体" w:hAnsi="宋体"/>
              </w:rPr>
            </w:pPr>
            <w:r>
              <w:rPr>
                <w:rFonts w:hint="eastAsia" w:ascii="宋体" w:hAnsi="宋体"/>
              </w:rPr>
              <w:t>3、对评标结果有异议的，应在中标候选人公示期间提出；</w:t>
            </w:r>
          </w:p>
          <w:p>
            <w:pPr>
              <w:jc w:val="left"/>
              <w:rPr>
                <w:rFonts w:ascii="宋体" w:hAnsi="宋体" w:cs="宋体"/>
              </w:rPr>
            </w:pPr>
            <w:r>
              <w:rPr>
                <w:rFonts w:hint="eastAsia" w:ascii="宋体" w:hAnsi="宋体"/>
              </w:rPr>
              <w:t>4、对政府采购项目，在知道或者应知其权益受到损害之日起七个工作日内，向采购人提出。</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B-030</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回复异议</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交易平台应当具备自收到异议之日起在</w:t>
            </w:r>
            <w:r>
              <w:rPr>
                <w:rFonts w:ascii="宋体" w:hAnsi="宋体"/>
              </w:rPr>
              <w:t>3</w:t>
            </w:r>
            <w:r>
              <w:rPr>
                <w:rFonts w:hint="eastAsia" w:ascii="宋体" w:hAnsi="宋体"/>
              </w:rPr>
              <w:t>日内作出答复的控制功能。异议答复前应具备暂停招标投标活动的控制功能。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B-031</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回复异议其他规定</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对政府采购项目应当在收到供应商的书面质疑后七个工作日内作出答复的控制功能。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B-032</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投标异常情况报告</w:t>
            </w:r>
          </w:p>
        </w:tc>
        <w:tc>
          <w:tcPr>
            <w:tcW w:w="2268"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重新招标</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设置如下控制功能：在依法必须进行的招标项目第一次招标时，在投标文件递交截止时间截止后，有效递交投标文件的不足3家，或在投标人加密解密情形下执行在线开标签到的投标人不足3家的，招标人应当重新招标。</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ascii="宋体" w:hAnsi="宋体"/>
              </w:rPr>
              <w:t>B-033</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6237" w:type="dxa"/>
            <w:tcBorders>
              <w:top w:val="nil"/>
              <w:left w:val="nil"/>
              <w:bottom w:val="single" w:color="000000" w:sz="8" w:space="0"/>
              <w:right w:val="single" w:color="auto" w:sz="8" w:space="0"/>
            </w:tcBorders>
            <w:shd w:val="clear" w:color="000000" w:fill="FFFFFF"/>
          </w:tcPr>
          <w:p>
            <w:pPr>
              <w:widowControl/>
              <w:jc w:val="left"/>
              <w:rPr>
                <w:rFonts w:ascii="宋体" w:hAnsi="宋体" w:cs="宋体"/>
                <w:kern w:val="0"/>
              </w:rPr>
            </w:pPr>
            <w:r>
              <w:rPr>
                <w:rFonts w:hint="eastAsia" w:ascii="宋体" w:hAnsi="宋体"/>
              </w:rPr>
              <w:t>对机电产品国际招标项目，如购标发售期截止后不足三家的，则可在发售期内启动重新招标。</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B-034</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6237" w:type="dxa"/>
            <w:tcBorders>
              <w:top w:val="nil"/>
              <w:left w:val="nil"/>
              <w:bottom w:val="single" w:color="000000" w:sz="8" w:space="0"/>
              <w:right w:val="single" w:color="auto" w:sz="8" w:space="0"/>
            </w:tcBorders>
            <w:shd w:val="clear" w:color="000000" w:fill="FFFFFF"/>
          </w:tcPr>
          <w:p>
            <w:pPr>
              <w:widowControl/>
              <w:jc w:val="left"/>
              <w:rPr>
                <w:rFonts w:ascii="宋体" w:hAnsi="宋体" w:cs="宋体"/>
                <w:kern w:val="0"/>
              </w:rPr>
            </w:pPr>
            <w:r>
              <w:rPr>
                <w:rFonts w:hint="eastAsia" w:ascii="宋体" w:hAnsi="宋体"/>
              </w:rPr>
              <w:t>交易平台应当设置在依法必须进行的招标项目第一次招标时，通过资格预审的申请人少于3个时，应当重新招标的控制功能。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B-035</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资格预审公告</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不同媒介发布内容一致性</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交易平台应当具备对在不同媒介发布的同一招标项目的资格预审公告的内容保持一致的控制功能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B-036</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指定媒介发布</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交易平台应当具备资格预审公告在国家指定的媒介发布，并同步至公共服务平台的控制功能。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B-037</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资格预审公告公示时间</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交易平台应当设置资格预审公告时间不得少于</w:t>
            </w:r>
            <w:r>
              <w:rPr>
                <w:rFonts w:ascii="宋体" w:hAnsi="宋体"/>
              </w:rPr>
              <w:t>5日的控制功能。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B-038</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资格预审文件</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发售时间要求</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交易平台应当设置发售资格预审文件发售期不少于5日的控制功能。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B-039</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发售时间其他要求</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对政府采购项目，资格预审公告的期限不得少于7个工作日。</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B-040</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资格预审文件澄清与修改</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资格预审文件澄清与修改时间规定</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rPr>
            </w:pPr>
            <w:r>
              <w:rPr>
                <w:rFonts w:hint="eastAsia" w:ascii="宋体" w:hAnsi="宋体"/>
              </w:rPr>
              <w:t>交易平台应当设置：</w:t>
            </w:r>
          </w:p>
          <w:p>
            <w:pPr>
              <w:jc w:val="left"/>
              <w:rPr>
                <w:rFonts w:ascii="宋体" w:hAnsi="宋体"/>
              </w:rPr>
            </w:pPr>
            <w:r>
              <w:rPr>
                <w:rFonts w:hint="eastAsia" w:ascii="宋体" w:hAnsi="宋体"/>
              </w:rPr>
              <w:t>1、招标人在资格预审截止时间3日前提交澄清与修改的控制功能；</w:t>
            </w:r>
          </w:p>
          <w:p>
            <w:pPr>
              <w:jc w:val="left"/>
              <w:rPr>
                <w:rFonts w:ascii="宋体" w:hAnsi="宋体" w:cs="宋体"/>
              </w:rPr>
            </w:pPr>
            <w:r>
              <w:rPr>
                <w:rFonts w:hint="eastAsia" w:ascii="宋体" w:hAnsi="宋体"/>
              </w:rPr>
              <w:t>2、投标人在资格预审截止时间2日前提交澄清提问的控制功能。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B-041</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资格预审申请文件</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文件安全性</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rPr>
            </w:pPr>
            <w:r>
              <w:rPr>
                <w:rFonts w:ascii="宋体" w:hAnsi="宋体"/>
              </w:rPr>
              <w:t>1.</w:t>
            </w:r>
            <w:r>
              <w:rPr>
                <w:rFonts w:hint="eastAsia" w:ascii="宋体" w:hAnsi="宋体"/>
              </w:rPr>
              <w:t>交易平台应当设置对资格预审申请文件分段或整体加密和解密的控制功能。</w:t>
            </w:r>
          </w:p>
          <w:p>
            <w:pPr>
              <w:jc w:val="left"/>
              <w:rPr>
                <w:rFonts w:ascii="宋体" w:hAnsi="宋体" w:cs="宋体"/>
              </w:rPr>
            </w:pPr>
            <w:r>
              <w:rPr>
                <w:rFonts w:ascii="宋体" w:hAnsi="宋体"/>
              </w:rPr>
              <w:t>2.</w:t>
            </w:r>
            <w:r>
              <w:rPr>
                <w:rFonts w:hint="eastAsia" w:ascii="宋体" w:hAnsi="宋体"/>
              </w:rPr>
              <w:t>在开启时间前，除资格预审申请人以外的任何单位和个人不得解密或提取文件。</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B-042</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提交文件时间要求</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设置对资格预审申请文件必须在资格预审文件规定的截止时间前完成提交的控制功能，对依法必须进行的招标项目，提交资格预审申请文件的时间，交易平台应当设定自资格预审文件停止发售之日起不少于5日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B-043</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kern w:val="0"/>
              </w:rPr>
            </w:pPr>
            <w:r>
              <w:rPr>
                <w:rFonts w:hint="eastAsia" w:ascii="宋体" w:hAnsi="宋体"/>
              </w:rPr>
              <w:t>文件开启</w:t>
            </w:r>
          </w:p>
        </w:tc>
        <w:tc>
          <w:tcPr>
            <w:tcW w:w="6237" w:type="dxa"/>
            <w:tcBorders>
              <w:top w:val="nil"/>
              <w:left w:val="nil"/>
              <w:bottom w:val="single" w:color="000000" w:sz="8" w:space="0"/>
              <w:right w:val="single" w:color="auto" w:sz="8" w:space="0"/>
            </w:tcBorders>
            <w:shd w:val="clear" w:color="000000" w:fill="FFFFFF"/>
            <w:vAlign w:val="center"/>
          </w:tcPr>
          <w:p>
            <w:pPr>
              <w:widowControl/>
              <w:jc w:val="left"/>
              <w:rPr>
                <w:rFonts w:ascii="宋体" w:hAnsi="宋体" w:cs="宋体"/>
                <w:kern w:val="0"/>
              </w:rPr>
            </w:pPr>
            <w:r>
              <w:rPr>
                <w:rFonts w:hint="eastAsia" w:ascii="宋体" w:hAnsi="宋体"/>
              </w:rPr>
              <w:t>交易平台应当具备针对第一次招标的项目，申请人数量少于3个不得开启的控制功能。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B-044</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资格审查委员会</w:t>
            </w:r>
          </w:p>
          <w:p>
            <w:pPr>
              <w:jc w:val="center"/>
              <w:rPr>
                <w:rFonts w:ascii="宋体" w:hAnsi="宋体" w:cs="宋体"/>
              </w:rPr>
            </w:pPr>
            <w:r>
              <w:rPr>
                <w:rFonts w:hint="eastAsia" w:ascii="宋体" w:hAnsi="宋体"/>
              </w:rPr>
              <w:t>成员</w:t>
            </w:r>
          </w:p>
        </w:tc>
        <w:tc>
          <w:tcPr>
            <w:tcW w:w="2268" w:type="dxa"/>
            <w:vMerge w:val="restart"/>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专家组成要求</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对国有资金控股或占主导地位的依法必须进行招标的项目，交易平台应当具备对资格审查委员会成员人数为五人以上单数的控制功能。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B-045</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2268" w:type="dxa"/>
            <w:vMerge w:val="continue"/>
            <w:tcBorders>
              <w:top w:val="nil"/>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kern w:val="0"/>
              </w:rPr>
            </w:pPr>
          </w:p>
        </w:tc>
        <w:tc>
          <w:tcPr>
            <w:tcW w:w="6237" w:type="dxa"/>
            <w:tcBorders>
              <w:top w:val="nil"/>
              <w:left w:val="nil"/>
              <w:bottom w:val="single" w:color="000000" w:sz="8" w:space="0"/>
              <w:right w:val="single" w:color="auto" w:sz="8" w:space="0"/>
            </w:tcBorders>
            <w:shd w:val="clear" w:color="000000" w:fill="FFFFFF"/>
          </w:tcPr>
          <w:p>
            <w:pPr>
              <w:widowControl/>
              <w:jc w:val="left"/>
              <w:rPr>
                <w:rFonts w:ascii="宋体" w:hAnsi="宋体" w:cs="宋体"/>
                <w:kern w:val="0"/>
              </w:rPr>
            </w:pPr>
            <w:r>
              <w:rPr>
                <w:rFonts w:hint="eastAsia" w:ascii="宋体" w:hAnsi="宋体"/>
              </w:rPr>
              <w:t>对国有资金控股或占主导地位的依法必须进行招标的项目，交易平台应当具备设置技术、经济等方面的专家不得少于成员总数的三分之二，招标人代表不多于三分之一的控制功能。</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widowControl/>
              <w:jc w:val="center"/>
              <w:rPr>
                <w:rFonts w:ascii="宋体" w:hAnsi="宋体" w:cs="宋体"/>
                <w:kern w:val="0"/>
              </w:rPr>
            </w:pPr>
            <w:r>
              <w:rPr>
                <w:rFonts w:hint="eastAsia" w:ascii="宋体" w:hAnsi="宋体"/>
              </w:rPr>
              <w:t>#</w:t>
            </w:r>
            <w:r>
              <w:rPr>
                <w:rFonts w:ascii="宋体" w:hAnsi="宋体"/>
              </w:rPr>
              <w:t>B-046</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r>
        <w:tblPrEx>
          <w:tblCellMar>
            <w:top w:w="0" w:type="dxa"/>
            <w:left w:w="108" w:type="dxa"/>
            <w:bottom w:w="0" w:type="dxa"/>
            <w:right w:w="108" w:type="dxa"/>
          </w:tblCellMar>
        </w:tblPrEx>
        <w:trPr>
          <w:trHeight w:val="567" w:hRule="atLeast"/>
          <w:jc w:val="center"/>
        </w:trPr>
        <w:tc>
          <w:tcPr>
            <w:tcW w:w="1282" w:type="dxa"/>
            <w:tcBorders>
              <w:top w:val="nil"/>
              <w:left w:val="single" w:color="000000" w:sz="8" w:space="0"/>
              <w:bottom w:val="single" w:color="000000" w:sz="8" w:space="0"/>
              <w:right w:val="single" w:color="000000" w:sz="8" w:space="0"/>
            </w:tcBorders>
            <w:shd w:val="clear" w:color="000000" w:fill="FFFFFF"/>
            <w:vAlign w:val="center"/>
          </w:tcPr>
          <w:p>
            <w:pPr>
              <w:jc w:val="center"/>
              <w:rPr>
                <w:rFonts w:ascii="宋体" w:hAnsi="宋体"/>
              </w:rPr>
            </w:pPr>
            <w:r>
              <w:rPr>
                <w:rFonts w:hint="eastAsia" w:ascii="宋体" w:hAnsi="宋体"/>
              </w:rPr>
              <w:t>投标</w:t>
            </w:r>
          </w:p>
          <w:p>
            <w:pPr>
              <w:jc w:val="center"/>
              <w:rPr>
                <w:rFonts w:ascii="宋体" w:hAnsi="宋体" w:cs="宋体"/>
              </w:rPr>
            </w:pPr>
            <w:r>
              <w:rPr>
                <w:rFonts w:hint="eastAsia" w:ascii="宋体" w:hAnsi="宋体"/>
              </w:rPr>
              <w:t>保证金</w:t>
            </w:r>
          </w:p>
        </w:tc>
        <w:tc>
          <w:tcPr>
            <w:tcW w:w="2268" w:type="dxa"/>
            <w:tcBorders>
              <w:top w:val="nil"/>
              <w:left w:val="nil"/>
              <w:bottom w:val="single" w:color="000000" w:sz="8" w:space="0"/>
              <w:right w:val="single" w:color="000000" w:sz="8" w:space="0"/>
            </w:tcBorders>
            <w:shd w:val="clear" w:color="000000" w:fill="FFFFFF"/>
            <w:vAlign w:val="center"/>
          </w:tcPr>
          <w:p>
            <w:pPr>
              <w:jc w:val="center"/>
              <w:rPr>
                <w:rFonts w:ascii="宋体" w:hAnsi="宋体" w:cs="宋体"/>
              </w:rPr>
            </w:pPr>
            <w:r>
              <w:rPr>
                <w:rFonts w:hint="eastAsia" w:ascii="宋体" w:hAnsi="宋体"/>
              </w:rPr>
              <w:t>投标保证金退还时间</w:t>
            </w:r>
          </w:p>
        </w:tc>
        <w:tc>
          <w:tcPr>
            <w:tcW w:w="6237" w:type="dxa"/>
            <w:tcBorders>
              <w:top w:val="nil"/>
              <w:left w:val="nil"/>
              <w:bottom w:val="single" w:color="000000" w:sz="8" w:space="0"/>
              <w:right w:val="single" w:color="auto" w:sz="8" w:space="0"/>
            </w:tcBorders>
            <w:shd w:val="clear" w:color="000000" w:fill="FFFFFF"/>
            <w:vAlign w:val="center"/>
          </w:tcPr>
          <w:p>
            <w:pPr>
              <w:jc w:val="left"/>
              <w:rPr>
                <w:rFonts w:ascii="宋体" w:hAnsi="宋体" w:cs="宋体"/>
              </w:rPr>
            </w:pPr>
            <w:r>
              <w:rPr>
                <w:rFonts w:hint="eastAsia" w:ascii="宋体" w:hAnsi="宋体"/>
              </w:rPr>
              <w:t>招标人最迟应当在合同签订后</w:t>
            </w:r>
            <w:r>
              <w:rPr>
                <w:rFonts w:ascii="宋体" w:hAnsi="宋体"/>
              </w:rPr>
              <w:t>5</w:t>
            </w:r>
            <w:r>
              <w:rPr>
                <w:rFonts w:hint="eastAsia" w:ascii="宋体" w:hAnsi="宋体"/>
              </w:rPr>
              <w:t>日内向中标人和未中标的投标人退还投标保证金及银行同期存款利息。</w:t>
            </w:r>
          </w:p>
        </w:tc>
        <w:tc>
          <w:tcPr>
            <w:tcW w:w="1190"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cs="宋体"/>
              </w:rPr>
            </w:pPr>
            <w:r>
              <w:rPr>
                <w:rFonts w:hint="eastAsia" w:ascii="宋体" w:hAnsi="宋体"/>
              </w:rPr>
              <w:t>#</w:t>
            </w:r>
            <w:r>
              <w:rPr>
                <w:rFonts w:ascii="宋体" w:hAnsi="宋体"/>
              </w:rPr>
              <w:t>B-047</w:t>
            </w:r>
          </w:p>
        </w:tc>
        <w:tc>
          <w:tcPr>
            <w:tcW w:w="1315"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r>
              <w:rPr>
                <w:rFonts w:hint="eastAsia" w:ascii="宋体" w:hAnsi="宋体"/>
              </w:rPr>
              <w:t>★★</w:t>
            </w:r>
          </w:p>
        </w:tc>
        <w:tc>
          <w:tcPr>
            <w:tcW w:w="1302" w:type="dxa"/>
            <w:tcBorders>
              <w:top w:val="single" w:color="auto" w:sz="8" w:space="0"/>
              <w:left w:val="single" w:color="auto" w:sz="8" w:space="0"/>
              <w:bottom w:val="single" w:color="auto" w:sz="8" w:space="0"/>
              <w:right w:val="single" w:color="auto" w:sz="8" w:space="0"/>
            </w:tcBorders>
            <w:shd w:val="clear" w:color="000000" w:fill="FFFFFF"/>
            <w:vAlign w:val="center"/>
          </w:tcPr>
          <w:p>
            <w:pPr>
              <w:jc w:val="center"/>
              <w:rPr>
                <w:rFonts w:ascii="宋体" w:hAnsi="宋体"/>
              </w:rPr>
            </w:pPr>
          </w:p>
        </w:tc>
      </w:tr>
    </w:tbl>
    <w:p>
      <w:pPr>
        <w:widowControl/>
        <w:jc w:val="left"/>
        <w:rPr>
          <w:rFonts w:ascii="宋体" w:hAnsi="宋体"/>
        </w:rPr>
      </w:pPr>
      <w:r>
        <w:rPr>
          <w:rFonts w:hint="eastAsia" w:ascii="宋体" w:hAnsi="宋体"/>
          <w:b/>
        </w:rPr>
        <w:t>说明：检测序号标注为#的检测项，对根据平台自身定位及其招标人用户要求，确不需要开发使用相关功能，或者相关功能由其他系统实现的交易平台，不作为必须检测项，对其他交易平台仍作为必须检测项。不作为必须检测项的，送测交易平台运营机构应当在其提供的自声明材料中作出说明，并对其真实性负责。</w:t>
      </w:r>
    </w:p>
    <w:p>
      <w:pPr>
        <w:ind w:left="3990" w:right="420" w:firstLine="6510" w:firstLineChars="3100"/>
        <w:rPr>
          <w:rFonts w:ascii="宋体" w:hAnsi="宋体"/>
        </w:rPr>
      </w:pPr>
      <w:r>
        <w:rPr>
          <w:rFonts w:hint="eastAsia" w:ascii="宋体" w:hAnsi="宋体"/>
        </w:rPr>
        <w:t>认证委托人（运营机构）：</w:t>
      </w:r>
    </w:p>
    <w:p>
      <w:pPr>
        <w:ind w:left="3150" w:right="420" w:firstLine="7350" w:firstLineChars="3500"/>
        <w:rPr>
          <w:rFonts w:ascii="宋体" w:hAnsi="宋体"/>
        </w:rPr>
      </w:pPr>
      <w:r>
        <w:rPr>
          <w:rFonts w:hint="eastAsia" w:ascii="宋体" w:hAnsi="宋体"/>
        </w:rPr>
        <w:t>（</w:t>
      </w:r>
      <w:r>
        <w:rPr>
          <w:rFonts w:ascii="宋体" w:hAnsi="宋体"/>
        </w:rPr>
        <w:t>加盖公章）</w:t>
      </w:r>
    </w:p>
    <w:p>
      <w:pPr>
        <w:ind w:firstLine="7350" w:firstLineChars="3500"/>
        <w:jc w:val="right"/>
        <w:rPr>
          <w:rFonts w:ascii="宋体" w:hAnsi="宋体"/>
        </w:rPr>
      </w:pPr>
    </w:p>
    <w:p>
      <w:pPr>
        <w:ind w:left="10080" w:right="420" w:firstLine="420"/>
        <w:rPr>
          <w:rFonts w:hAnsi="宋体"/>
        </w:rPr>
      </w:pPr>
      <w:r>
        <w:rPr>
          <w:rFonts w:hint="eastAsia" w:ascii="宋体" w:hAnsi="宋体"/>
        </w:rPr>
        <w:t>日期：</w:t>
      </w:r>
    </w:p>
    <w:p>
      <w:pPr>
        <w:pStyle w:val="45"/>
        <w:spacing w:line="360" w:lineRule="auto"/>
        <w:ind w:firstLine="0" w:firstLineChars="0"/>
        <w:jc w:val="right"/>
        <w:rPr>
          <w:rFonts w:hAnsi="宋体"/>
          <w:szCs w:val="21"/>
        </w:rPr>
        <w:sectPr>
          <w:headerReference r:id="rId9" w:type="default"/>
          <w:footerReference r:id="rId10" w:type="default"/>
          <w:pgSz w:w="16838" w:h="11906" w:orient="landscape"/>
          <w:pgMar w:top="1797" w:right="1440" w:bottom="1797" w:left="1440" w:header="851" w:footer="992" w:gutter="0"/>
          <w:cols w:space="720" w:num="1"/>
          <w:docGrid w:type="linesAndChars" w:linePitch="312" w:charSpace="0"/>
        </w:sectPr>
      </w:pPr>
    </w:p>
    <w:p>
      <w:pPr>
        <w:pStyle w:val="15"/>
        <w:spacing w:before="156" w:beforeLines="50" w:after="156" w:afterLines="50"/>
        <w:ind w:firstLine="0" w:firstLineChars="0"/>
        <w:rPr>
          <w:rFonts w:cs="宋体"/>
          <w:sz w:val="24"/>
          <w:szCs w:val="21"/>
        </w:rPr>
      </w:pPr>
      <w:r>
        <w:rPr>
          <w:rFonts w:hint="eastAsia" w:cs="宋体"/>
          <w:sz w:val="24"/>
          <w:szCs w:val="21"/>
        </w:rPr>
        <w:t>附件6</w:t>
      </w:r>
    </w:p>
    <w:p>
      <w:pPr>
        <w:pStyle w:val="2"/>
        <w:spacing w:before="156" w:beforeLines="50" w:after="156" w:afterLines="50" w:line="420" w:lineRule="exact"/>
        <w:jc w:val="center"/>
        <w:rPr>
          <w:rFonts w:cs="宋体"/>
          <w:sz w:val="28"/>
          <w:szCs w:val="28"/>
        </w:rPr>
      </w:pPr>
      <w:bookmarkStart w:id="9" w:name="_Toc464049499"/>
      <w:r>
        <w:rPr>
          <w:rFonts w:hint="eastAsia" w:cs="宋体"/>
          <w:sz w:val="28"/>
          <w:szCs w:val="28"/>
        </w:rPr>
        <w:t>一致性声明</w:t>
      </w:r>
      <w:bookmarkEnd w:id="9"/>
    </w:p>
    <w:p>
      <w:pPr>
        <w:spacing w:line="360" w:lineRule="auto"/>
      </w:pPr>
    </w:p>
    <w:p>
      <w:pPr>
        <w:spacing w:line="360" w:lineRule="auto"/>
        <w:ind w:firstLine="420" w:firstLineChars="200"/>
        <w:rPr>
          <w:u w:val="single"/>
        </w:rPr>
      </w:pPr>
      <w:r>
        <w:rPr>
          <w:rFonts w:hint="eastAsia"/>
        </w:rPr>
        <w:t>本机构（认证委托人即运营机构）</w:t>
      </w:r>
      <w:r>
        <w:rPr>
          <w:rFonts w:hint="eastAsia"/>
          <w:u w:val="single"/>
        </w:rPr>
        <w:t xml:space="preserve">        </w:t>
      </w:r>
      <w:r>
        <w:rPr>
          <w:rFonts w:hint="eastAsia"/>
          <w:i/>
          <w:u w:val="single"/>
        </w:rPr>
        <w:t>（填写认证委托人即运营机构名称）</w:t>
      </w:r>
      <w:r>
        <w:rPr>
          <w:rFonts w:hint="eastAsia"/>
          <w:u w:val="single"/>
        </w:rPr>
        <w:t xml:space="preserve">                </w:t>
      </w:r>
      <w:r>
        <w:rPr>
          <w:rFonts w:hint="eastAsia"/>
        </w:rPr>
        <w:t xml:space="preserve">声明受检交易平台 </w:t>
      </w:r>
      <w:r>
        <w:rPr>
          <w:rFonts w:hint="eastAsia"/>
          <w:u w:val="single"/>
        </w:rPr>
        <w:t xml:space="preserve">       </w:t>
      </w:r>
      <w:r>
        <w:rPr>
          <w:rFonts w:hint="eastAsia"/>
          <w:i/>
          <w:u w:val="single"/>
        </w:rPr>
        <w:t>（受检交易平台名称和</w:t>
      </w:r>
      <w:r>
        <w:rPr>
          <w:i/>
          <w:u w:val="single"/>
        </w:rPr>
        <w:t>版本号</w:t>
      </w:r>
      <w:r>
        <w:rPr>
          <w:rFonts w:hint="eastAsia"/>
          <w:i/>
          <w:u w:val="single"/>
        </w:rPr>
        <w:t>）</w:t>
      </w:r>
      <w:r>
        <w:rPr>
          <w:rFonts w:hint="eastAsia"/>
          <w:u w:val="single"/>
        </w:rPr>
        <w:t xml:space="preserve">                    </w:t>
      </w:r>
      <w:r>
        <w:rPr>
          <w:rFonts w:hint="eastAsia"/>
        </w:rPr>
        <w:t>符合如下要求：</w:t>
      </w:r>
    </w:p>
    <w:p>
      <w:pPr>
        <w:spacing w:line="360" w:lineRule="auto"/>
      </w:pPr>
    </w:p>
    <w:p>
      <w:pPr>
        <w:pStyle w:val="42"/>
        <w:numPr>
          <w:ilvl w:val="0"/>
          <w:numId w:val="7"/>
        </w:numPr>
        <w:spacing w:line="360" w:lineRule="auto"/>
        <w:ind w:firstLineChars="0"/>
      </w:pPr>
      <w:r>
        <w:rPr>
          <w:rFonts w:hint="eastAsia"/>
        </w:rPr>
        <w:t>电子招标投标办法；</w:t>
      </w:r>
    </w:p>
    <w:p>
      <w:pPr>
        <w:pStyle w:val="42"/>
        <w:numPr>
          <w:ilvl w:val="0"/>
          <w:numId w:val="7"/>
        </w:numPr>
        <w:spacing w:line="360" w:lineRule="auto"/>
        <w:ind w:firstLineChars="0"/>
      </w:pPr>
      <w:r>
        <w:rPr>
          <w:rFonts w:hint="eastAsia"/>
        </w:rPr>
        <w:t>《电子招标投标系统检测技术规范 第1部分 交易平台检测技术规范》</w:t>
      </w:r>
    </w:p>
    <w:p>
      <w:pPr>
        <w:pStyle w:val="42"/>
        <w:numPr>
          <w:ilvl w:val="0"/>
          <w:numId w:val="7"/>
        </w:numPr>
        <w:spacing w:line="360" w:lineRule="auto"/>
        <w:ind w:firstLineChars="0"/>
      </w:pPr>
      <w:r>
        <w:rPr>
          <w:rFonts w:hint="eastAsia"/>
        </w:rPr>
        <w:t xml:space="preserve">《电子招标投标系统交易平台认证技术规范》 </w:t>
      </w:r>
    </w:p>
    <w:p>
      <w:pPr>
        <w:spacing w:line="360" w:lineRule="auto"/>
        <w:ind w:left="45"/>
      </w:pPr>
    </w:p>
    <w:p>
      <w:pPr>
        <w:spacing w:line="360" w:lineRule="auto"/>
        <w:ind w:firstLine="420" w:firstLineChars="200"/>
        <w:jc w:val="left"/>
      </w:pPr>
      <w:r>
        <w:rPr>
          <w:rFonts w:hint="eastAsia"/>
        </w:rPr>
        <w:t>本机构（运营机构）对提供所有与检测认证有关资料的真实性负责，并保证实际运行的交易平台环境与检测和声明时完全一致。</w:t>
      </w:r>
    </w:p>
    <w:p>
      <w:pPr>
        <w:spacing w:line="360" w:lineRule="auto"/>
        <w:ind w:firstLine="420" w:firstLineChars="200"/>
      </w:pPr>
      <w:r>
        <w:rPr>
          <w:rFonts w:hint="eastAsia"/>
        </w:rPr>
        <w:t>本机构（运营机构）对违反上述声明导致的后果承担全部法律责任。</w:t>
      </w:r>
    </w:p>
    <w:p>
      <w:pPr>
        <w:spacing w:line="360" w:lineRule="auto"/>
      </w:pPr>
    </w:p>
    <w:p>
      <w:pPr>
        <w:spacing w:line="360" w:lineRule="auto"/>
      </w:pPr>
    </w:p>
    <w:p>
      <w:pPr>
        <w:ind w:firstLine="4200" w:firstLineChars="2000"/>
        <w:rPr>
          <w:rFonts w:ascii="宋体" w:hAnsi="宋体"/>
        </w:rPr>
      </w:pPr>
    </w:p>
    <w:p>
      <w:pPr>
        <w:ind w:firstLine="4200" w:firstLineChars="2000"/>
        <w:rPr>
          <w:rFonts w:ascii="宋体" w:hAnsi="宋体"/>
        </w:rPr>
      </w:pPr>
      <w:r>
        <w:rPr>
          <w:rFonts w:hint="eastAsia" w:ascii="宋体" w:hAnsi="宋体"/>
        </w:rPr>
        <w:t>认证委托人（运营机构）：</w:t>
      </w:r>
    </w:p>
    <w:p>
      <w:pPr>
        <w:ind w:firstLine="4200" w:firstLineChars="2000"/>
        <w:rPr>
          <w:rFonts w:ascii="宋体" w:hAnsi="宋体"/>
        </w:rPr>
      </w:pPr>
      <w:r>
        <w:rPr>
          <w:rFonts w:hint="eastAsia" w:ascii="宋体" w:hAnsi="宋体"/>
        </w:rPr>
        <w:t>（</w:t>
      </w:r>
      <w:r>
        <w:rPr>
          <w:rFonts w:ascii="宋体" w:hAnsi="宋体"/>
        </w:rPr>
        <w:t>加盖公章）</w:t>
      </w:r>
    </w:p>
    <w:p>
      <w:pPr>
        <w:ind w:firstLine="4200" w:firstLineChars="2000"/>
        <w:rPr>
          <w:rFonts w:ascii="宋体" w:hAnsi="宋体"/>
        </w:rPr>
      </w:pPr>
    </w:p>
    <w:p>
      <w:pPr>
        <w:ind w:firstLine="4200" w:firstLineChars="2000"/>
        <w:rPr>
          <w:rFonts w:ascii="宋体" w:hAnsi="宋体"/>
        </w:rPr>
      </w:pPr>
      <w:r>
        <w:rPr>
          <w:rFonts w:hint="eastAsia" w:ascii="宋体" w:hAnsi="宋体"/>
        </w:rPr>
        <w:t>签署日期：</w:t>
      </w:r>
      <w:bookmarkEnd w:id="6"/>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ind w:firstLine="4200" w:firstLineChars="2000"/>
        <w:rPr>
          <w:rFonts w:ascii="宋体" w:hAnsi="宋体"/>
        </w:rPr>
      </w:pPr>
    </w:p>
    <w:p>
      <w:pPr>
        <w:pStyle w:val="15"/>
        <w:spacing w:before="156" w:beforeLines="50" w:after="156" w:afterLines="50"/>
        <w:ind w:firstLine="0" w:firstLineChars="0"/>
        <w:rPr>
          <w:rFonts w:cs="宋体"/>
          <w:sz w:val="24"/>
          <w:szCs w:val="21"/>
        </w:rPr>
      </w:pPr>
      <w:r>
        <w:rPr>
          <w:rFonts w:hint="eastAsia" w:cs="宋体"/>
          <w:sz w:val="24"/>
          <w:szCs w:val="21"/>
        </w:rPr>
        <w:t xml:space="preserve">附件8 </w:t>
      </w:r>
    </w:p>
    <w:p>
      <w:pPr>
        <w:jc w:val="left"/>
        <w:rPr>
          <w:rFonts w:ascii="宋体" w:hAnsi="宋体"/>
        </w:rPr>
      </w:pPr>
    </w:p>
    <w:p>
      <w:pPr>
        <w:pStyle w:val="11"/>
        <w:ind w:firstLine="361"/>
        <w:jc w:val="center"/>
        <w:rPr>
          <w:b/>
          <w:bCs/>
          <w:sz w:val="18"/>
          <w:szCs w:val="18"/>
        </w:rPr>
      </w:pPr>
      <w:r>
        <w:rPr>
          <w:rFonts w:hint="eastAsia" w:ascii="宋体" w:hAnsi="宋体"/>
          <w:b/>
          <w:sz w:val="18"/>
          <w:szCs w:val="18"/>
        </w:rPr>
        <w:t>★</w:t>
      </w:r>
      <w:r>
        <w:rPr>
          <w:rFonts w:hint="eastAsia"/>
          <w:b/>
          <w:bCs/>
          <w:sz w:val="18"/>
          <w:szCs w:val="18"/>
        </w:rPr>
        <w:tab/>
      </w:r>
      <w:r>
        <w:rPr>
          <w:rFonts w:hint="eastAsia"/>
          <w:b/>
          <w:bCs/>
          <w:sz w:val="18"/>
          <w:szCs w:val="18"/>
        </w:rPr>
        <w:t>认证交易平台运行环境配置项</w:t>
      </w:r>
      <w:r>
        <w:rPr>
          <w:rFonts w:hint="eastAsia"/>
          <w:b/>
          <w:sz w:val="18"/>
          <w:szCs w:val="18"/>
        </w:rPr>
        <w:t>表</w:t>
      </w:r>
    </w:p>
    <w:p>
      <w:pPr>
        <w:pStyle w:val="11"/>
        <w:ind w:firstLine="361"/>
        <w:rPr>
          <w:b/>
          <w:bCs/>
          <w:sz w:val="18"/>
          <w:szCs w:val="18"/>
        </w:rPr>
      </w:pPr>
      <w:r>
        <w:rPr>
          <w:rFonts w:hint="eastAsia"/>
          <w:b/>
          <w:bCs/>
          <w:sz w:val="18"/>
          <w:szCs w:val="18"/>
        </w:rPr>
        <w:t>　</w:t>
      </w:r>
    </w:p>
    <w:tbl>
      <w:tblPr>
        <w:tblStyle w:val="2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63"/>
        <w:gridCol w:w="1844"/>
        <w:gridCol w:w="1849"/>
        <w:gridCol w:w="1987"/>
        <w:gridCol w:w="16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vAlign w:val="center"/>
          </w:tcPr>
          <w:p>
            <w:pPr>
              <w:ind w:left="-2" w:leftChars="-1" w:firstLine="1"/>
              <w:jc w:val="center"/>
              <w:rPr>
                <w:b/>
                <w:bCs/>
                <w:sz w:val="18"/>
                <w:szCs w:val="18"/>
              </w:rPr>
            </w:pPr>
            <w:r>
              <w:rPr>
                <w:rFonts w:hint="eastAsia"/>
                <w:b/>
                <w:bCs/>
                <w:sz w:val="18"/>
                <w:szCs w:val="18"/>
              </w:rPr>
              <w:t>序号</w:t>
            </w:r>
          </w:p>
        </w:tc>
        <w:tc>
          <w:tcPr>
            <w:tcW w:w="2127" w:type="dxa"/>
            <w:vAlign w:val="center"/>
          </w:tcPr>
          <w:p>
            <w:pPr>
              <w:autoSpaceDE w:val="0"/>
              <w:ind w:left="-4" w:leftChars="-2" w:firstLine="2" w:firstLineChars="1"/>
              <w:jc w:val="center"/>
              <w:rPr>
                <w:b/>
                <w:bCs/>
                <w:sz w:val="18"/>
                <w:szCs w:val="18"/>
              </w:rPr>
            </w:pPr>
            <w:r>
              <w:rPr>
                <w:rFonts w:hint="eastAsia"/>
                <w:b/>
                <w:bCs/>
                <w:sz w:val="18"/>
                <w:szCs w:val="18"/>
              </w:rPr>
              <w:t>硬件配置</w:t>
            </w:r>
          </w:p>
        </w:tc>
        <w:tc>
          <w:tcPr>
            <w:tcW w:w="2126" w:type="dxa"/>
            <w:vAlign w:val="center"/>
          </w:tcPr>
          <w:p>
            <w:pPr>
              <w:autoSpaceDE w:val="0"/>
              <w:ind w:left="36" w:leftChars="17"/>
              <w:jc w:val="center"/>
              <w:rPr>
                <w:b/>
                <w:bCs/>
                <w:sz w:val="18"/>
                <w:szCs w:val="18"/>
              </w:rPr>
            </w:pPr>
            <w:r>
              <w:rPr>
                <w:rFonts w:hint="eastAsia"/>
                <w:b/>
                <w:bCs/>
                <w:sz w:val="18"/>
                <w:szCs w:val="18"/>
              </w:rPr>
              <w:t>操作系统</w:t>
            </w:r>
          </w:p>
        </w:tc>
        <w:tc>
          <w:tcPr>
            <w:tcW w:w="2298" w:type="dxa"/>
            <w:vAlign w:val="center"/>
          </w:tcPr>
          <w:p>
            <w:pPr>
              <w:ind w:left="-4" w:leftChars="-2" w:firstLine="2" w:firstLineChars="1"/>
              <w:jc w:val="center"/>
              <w:rPr>
                <w:b/>
                <w:bCs/>
                <w:sz w:val="18"/>
                <w:szCs w:val="18"/>
              </w:rPr>
            </w:pPr>
            <w:r>
              <w:rPr>
                <w:rFonts w:hint="eastAsia"/>
                <w:b/>
                <w:bCs/>
                <w:sz w:val="18"/>
                <w:szCs w:val="18"/>
              </w:rPr>
              <w:t>软件名称及版本号</w:t>
            </w:r>
          </w:p>
        </w:tc>
        <w:tc>
          <w:tcPr>
            <w:tcW w:w="1921" w:type="dxa"/>
            <w:vAlign w:val="center"/>
          </w:tcPr>
          <w:p>
            <w:pPr>
              <w:ind w:left="-4" w:leftChars="-2" w:firstLine="5" w:firstLineChars="3"/>
              <w:jc w:val="center"/>
              <w:rPr>
                <w:b/>
                <w:bCs/>
                <w:sz w:val="18"/>
                <w:szCs w:val="18"/>
              </w:rPr>
            </w:pPr>
            <w:r>
              <w:rPr>
                <w:rFonts w:hint="eastAsia"/>
                <w:b/>
                <w:bCs/>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1" w:type="dxa"/>
            <w:gridSpan w:val="5"/>
          </w:tcPr>
          <w:p>
            <w:pPr>
              <w:pStyle w:val="11"/>
              <w:ind w:firstLine="341"/>
              <w:rPr>
                <w:b/>
                <w:bCs/>
                <w:spacing w:val="-5"/>
                <w:sz w:val="18"/>
                <w:szCs w:val="18"/>
                <w:lang w:bidi="he-IL"/>
              </w:rPr>
            </w:pPr>
            <w:r>
              <w:rPr>
                <w:rFonts w:hint="eastAsia"/>
                <w:b/>
                <w:bCs/>
                <w:spacing w:val="-5"/>
                <w:sz w:val="18"/>
                <w:szCs w:val="18"/>
                <w:lang w:bidi="he-IL"/>
              </w:rPr>
              <w:t>服务器端（X台）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r>
              <w:rPr>
                <w:rFonts w:hint="eastAsia"/>
                <w:b/>
                <w:bCs/>
                <w:spacing w:val="-5"/>
                <w:sz w:val="18"/>
                <w:szCs w:val="18"/>
                <w:lang w:bidi="he-IL"/>
              </w:rPr>
              <w:t>1</w:t>
            </w: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r>
              <w:rPr>
                <w:rFonts w:hint="eastAsia"/>
                <w:b/>
                <w:bCs/>
                <w:spacing w:val="-5"/>
                <w:sz w:val="18"/>
                <w:szCs w:val="18"/>
                <w:lang w:bidi="he-IL"/>
              </w:rPr>
              <w:t>2</w:t>
            </w: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r>
              <w:rPr>
                <w:rFonts w:hint="eastAsia"/>
                <w:b/>
                <w:bCs/>
                <w:spacing w:val="-5"/>
                <w:sz w:val="18"/>
                <w:szCs w:val="18"/>
                <w:lang w:bidi="he-IL"/>
              </w:rPr>
              <w:t>3</w:t>
            </w: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01" w:type="dxa"/>
            <w:gridSpan w:val="5"/>
          </w:tcPr>
          <w:p>
            <w:pPr>
              <w:pStyle w:val="11"/>
              <w:ind w:firstLine="341"/>
              <w:rPr>
                <w:b/>
                <w:bCs/>
                <w:spacing w:val="-5"/>
                <w:sz w:val="18"/>
                <w:szCs w:val="18"/>
                <w:lang w:bidi="he-IL"/>
              </w:rPr>
            </w:pPr>
            <w:r>
              <w:rPr>
                <w:rFonts w:hint="eastAsia"/>
                <w:b/>
                <w:bCs/>
                <w:spacing w:val="-5"/>
                <w:sz w:val="18"/>
                <w:szCs w:val="18"/>
                <w:lang w:bidi="he-IL"/>
              </w:rPr>
              <w:t>客户端（X台）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r>
              <w:rPr>
                <w:rFonts w:hint="eastAsia"/>
                <w:b/>
                <w:bCs/>
                <w:spacing w:val="-5"/>
                <w:sz w:val="18"/>
                <w:szCs w:val="18"/>
                <w:lang w:bidi="he-IL"/>
              </w:rPr>
              <w:t>1</w:t>
            </w: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29" w:type="dxa"/>
          </w:tcPr>
          <w:p>
            <w:pPr>
              <w:pStyle w:val="11"/>
              <w:ind w:firstLine="341"/>
              <w:rPr>
                <w:b/>
                <w:bCs/>
                <w:spacing w:val="-5"/>
                <w:sz w:val="18"/>
                <w:szCs w:val="18"/>
                <w:lang w:bidi="he-IL"/>
              </w:rPr>
            </w:pPr>
            <w:r>
              <w:rPr>
                <w:rFonts w:hint="eastAsia"/>
                <w:b/>
                <w:bCs/>
                <w:spacing w:val="-5"/>
                <w:sz w:val="18"/>
                <w:szCs w:val="18"/>
                <w:lang w:bidi="he-IL"/>
              </w:rPr>
              <w:t>2</w:t>
            </w:r>
          </w:p>
        </w:tc>
        <w:tc>
          <w:tcPr>
            <w:tcW w:w="2127" w:type="dxa"/>
          </w:tcPr>
          <w:p>
            <w:pPr>
              <w:pStyle w:val="11"/>
              <w:ind w:firstLine="341"/>
              <w:rPr>
                <w:b/>
                <w:bCs/>
                <w:spacing w:val="-5"/>
                <w:sz w:val="18"/>
                <w:szCs w:val="18"/>
                <w:lang w:bidi="he-IL"/>
              </w:rPr>
            </w:pPr>
          </w:p>
        </w:tc>
        <w:tc>
          <w:tcPr>
            <w:tcW w:w="2126" w:type="dxa"/>
          </w:tcPr>
          <w:p>
            <w:pPr>
              <w:pStyle w:val="11"/>
              <w:ind w:firstLine="341"/>
              <w:rPr>
                <w:b/>
                <w:bCs/>
                <w:spacing w:val="-5"/>
                <w:sz w:val="18"/>
                <w:szCs w:val="18"/>
                <w:lang w:bidi="he-IL"/>
              </w:rPr>
            </w:pPr>
          </w:p>
        </w:tc>
        <w:tc>
          <w:tcPr>
            <w:tcW w:w="2298" w:type="dxa"/>
          </w:tcPr>
          <w:p>
            <w:pPr>
              <w:pStyle w:val="11"/>
              <w:ind w:firstLine="341"/>
              <w:rPr>
                <w:b/>
                <w:bCs/>
                <w:spacing w:val="-5"/>
                <w:sz w:val="18"/>
                <w:szCs w:val="18"/>
                <w:lang w:bidi="he-IL"/>
              </w:rPr>
            </w:pPr>
          </w:p>
        </w:tc>
        <w:tc>
          <w:tcPr>
            <w:tcW w:w="1921" w:type="dxa"/>
          </w:tcPr>
          <w:p>
            <w:pPr>
              <w:pStyle w:val="11"/>
              <w:ind w:firstLine="341"/>
              <w:rPr>
                <w:b/>
                <w:bCs/>
                <w:spacing w:val="-5"/>
                <w:sz w:val="18"/>
                <w:szCs w:val="18"/>
                <w:lang w:bidi="he-IL"/>
              </w:rPr>
            </w:pPr>
          </w:p>
        </w:tc>
      </w:tr>
    </w:tbl>
    <w:p>
      <w:pPr>
        <w:jc w:val="left"/>
        <w:rPr>
          <w:rFonts w:ascii="宋体" w:hAnsi="宋体"/>
        </w:rPr>
      </w:pPr>
      <w:r>
        <w:rPr>
          <w:rFonts w:hint="eastAsia"/>
          <w:b/>
          <w:bCs/>
          <w:sz w:val="18"/>
          <w:szCs w:val="18"/>
        </w:rPr>
        <w:t>　注：请填写与本认证交易平台运行环境相关的软硬件</w:t>
      </w:r>
      <w:bookmarkStart w:id="10" w:name="_GoBack"/>
      <w:bookmarkEnd w:id="10"/>
      <w:r>
        <w:rPr>
          <w:rFonts w:hint="eastAsia"/>
          <w:b/>
          <w:bCs/>
          <w:sz w:val="18"/>
          <w:szCs w:val="18"/>
        </w:rPr>
        <w:t>设备。</w:t>
      </w:r>
    </w:p>
    <w:sectPr>
      <w:headerReference r:id="rId11" w:type="default"/>
      <w:footerReference r:id="rId12"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微?雅?">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ascii="宋体" w:hAnsi="宋体"/>
      </w:rPr>
    </w:pPr>
    <w:r>
      <w:rPr>
        <w:rFonts w:hint="eastAsia" w:ascii="宋体" w:hAnsi="宋体"/>
      </w:rPr>
      <w:t>中国网络安全审查技术与认证中心                                                                  第I页</w:t>
    </w:r>
  </w:p>
  <w:p>
    <w:pPr>
      <w:pStyle w:val="18"/>
      <w:ind w:right="-5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right" w:y="1"/>
      <w:rPr>
        <w:rStyle w:val="28"/>
      </w:rPr>
    </w:pPr>
    <w:r>
      <w:fldChar w:fldCharType="begin"/>
    </w:r>
    <w:r>
      <w:rPr>
        <w:rStyle w:val="28"/>
      </w:rPr>
      <w:instrText xml:space="preserve">PAGE  </w:instrText>
    </w:r>
    <w:r>
      <w:fldChar w:fldCharType="end"/>
    </w:r>
  </w:p>
  <w:p>
    <w:pPr>
      <w:pStyle w:val="1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rPr>
        <w:rFonts w:hint="eastAsia"/>
      </w:rPr>
      <w:t>中国网络安全审查认证和市场监管大数据中心</w:t>
    </w:r>
    <w:r>
      <w:rPr>
        <w:rFonts w:hint="eastAsia"/>
      </w:rPr>
      <w:tab/>
    </w:r>
    <w:r>
      <w:rPr>
        <w:rFonts w:hint="eastAsia"/>
      </w:rPr>
      <w:tab/>
    </w:r>
    <w:r>
      <w:rPr>
        <w:rFonts w:hint="eastAsia"/>
      </w:rPr>
      <w:t>第</w:t>
    </w:r>
    <w:r>
      <w:fldChar w:fldCharType="begin"/>
    </w:r>
    <w:r>
      <w:instrText xml:space="preserve">PAGE   \* MERGEFORMAT</w:instrText>
    </w:r>
    <w:r>
      <w:fldChar w:fldCharType="separate"/>
    </w:r>
    <w:r>
      <w:rPr>
        <w:lang w:val="zh-CN"/>
      </w:rPr>
      <w:t>II</w:t>
    </w:r>
    <w:r>
      <w:fldChar w:fldCharType="end"/>
    </w:r>
    <w:r>
      <w:rPr>
        <w:rFonts w:hint="eastAsia"/>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rPr>
        <w:rFonts w:hint="eastAsia"/>
      </w:rPr>
      <w:t>中国网络安全审查认证和市场监管大数据中心</w:t>
    </w:r>
    <w:r>
      <w:rPr>
        <w:rFonts w:hint="eastAsia"/>
      </w:rPr>
      <w:tab/>
    </w:r>
    <w:r>
      <w:rPr>
        <w:rFonts w:hint="eastAsia"/>
      </w:rPr>
      <w:tab/>
    </w:r>
    <w:r>
      <w:rPr>
        <w:rFonts w:hint="eastAsia"/>
      </w:rPr>
      <w:t>第</w:t>
    </w:r>
    <w:r>
      <w:fldChar w:fldCharType="begin"/>
    </w:r>
    <w:r>
      <w:instrText xml:space="preserve">PAGE   \* MERGEFORMAT</w:instrText>
    </w:r>
    <w:r>
      <w:fldChar w:fldCharType="separate"/>
    </w:r>
    <w:r>
      <w:rPr>
        <w:lang w:val="zh-CN"/>
      </w:rPr>
      <w:t>6</w:t>
    </w:r>
    <w:r>
      <w:fldChar w:fldCharType="end"/>
    </w:r>
    <w:r>
      <w:rPr>
        <w:rFonts w:hint="eastAsia"/>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12900"/>
        <w:tab w:val="clear" w:pos="8306"/>
      </w:tabs>
      <w:ind w:right="180"/>
    </w:pPr>
    <w:r>
      <w:rPr>
        <w:rFonts w:hint="eastAsia"/>
      </w:rPr>
      <w:t xml:space="preserve">中国网络安全审查认证和市场监管大数据中心 </w:t>
    </w:r>
    <w:r>
      <w:t xml:space="preserve">                </w:t>
    </w:r>
    <w:r>
      <w:tab/>
    </w:r>
    <w:r>
      <w:rPr>
        <w:rFonts w:hint="eastAsia"/>
      </w:rPr>
      <w:t>第</w:t>
    </w:r>
    <w:r>
      <w:fldChar w:fldCharType="begin"/>
    </w:r>
    <w:r>
      <w:instrText xml:space="preserve">PAGE   \* MERGEFORMAT</w:instrText>
    </w:r>
    <w:r>
      <w:fldChar w:fldCharType="separate"/>
    </w:r>
    <w:r>
      <w:rPr>
        <w:lang w:val="zh-CN"/>
      </w:rPr>
      <w:t>34</w:t>
    </w:r>
    <w:r>
      <w:fldChar w:fldCharType="end"/>
    </w:r>
    <w:r>
      <w:rPr>
        <w:rFonts w:hint="eastAsia"/>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tabs>
        <w:tab w:val="right" w:pos="8080"/>
        <w:tab w:val="right" w:pos="12900"/>
        <w:tab w:val="clear" w:pos="8306"/>
      </w:tabs>
      <w:ind w:right="180"/>
    </w:pPr>
    <w:r>
      <w:rPr>
        <w:rFonts w:hint="eastAsia"/>
      </w:rPr>
      <w:t>中国网络安全审查认证和市场监管大数据中心</w:t>
    </w:r>
    <w:r>
      <w:tab/>
    </w:r>
    <w:r>
      <w:tab/>
    </w:r>
    <w:r>
      <w:rPr>
        <w:rFonts w:hint="eastAsia"/>
      </w:rPr>
      <w:t>第</w:t>
    </w:r>
    <w:r>
      <w:fldChar w:fldCharType="begin"/>
    </w:r>
    <w:r>
      <w:instrText xml:space="preserve">PAGE   \* MERGEFORMAT</w:instrText>
    </w:r>
    <w:r>
      <w:fldChar w:fldCharType="separate"/>
    </w:r>
    <w:r>
      <w:rPr>
        <w:lang w:val="zh-CN"/>
      </w:rPr>
      <w:t>35</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t>CCRC-</w:t>
    </w:r>
    <w:r>
      <w:rPr>
        <w:rFonts w:hint="eastAsia"/>
      </w:rPr>
      <w:t>QOT</w:t>
    </w:r>
    <w:r>
      <w:t>-</w:t>
    </w:r>
    <w:r>
      <w:rPr>
        <w:rFonts w:hint="eastAsia"/>
      </w:rPr>
      <w:t>6301-B/</w:t>
    </w:r>
    <w:r>
      <w:rPr>
        <w:rFonts w:hint="eastAsia"/>
        <w:lang w:val="en-US" w:eastAsia="zh-CN"/>
      </w:rPr>
      <w:t>3</w:t>
    </w:r>
    <w:r>
      <w:rPr>
        <w:rFonts w:hint="eastAsia"/>
      </w:rPr>
      <w:tab/>
    </w:r>
    <w:r>
      <w:rPr>
        <w:rFonts w:hint="eastAsia"/>
      </w:rPr>
      <w:tab/>
    </w:r>
    <w:r>
      <w:rPr>
        <w:rFonts w:hint="eastAsia"/>
      </w:rPr>
      <w:t>电子招标投标系统认证申请书（交易平台）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right" w:pos="13892"/>
        <w:tab w:val="clear" w:pos="8306"/>
      </w:tabs>
    </w:pPr>
    <w:r>
      <w:t>CCRC-</w:t>
    </w:r>
    <w:r>
      <w:rPr>
        <w:rFonts w:hint="eastAsia"/>
      </w:rPr>
      <w:t>QOT</w:t>
    </w:r>
    <w:r>
      <w:t>-</w:t>
    </w:r>
    <w:r>
      <w:rPr>
        <w:rFonts w:hint="eastAsia"/>
      </w:rPr>
      <w:t>6301-B/</w:t>
    </w:r>
    <w:r>
      <w:rPr>
        <w:rFonts w:hint="eastAsia"/>
        <w:lang w:val="en-US" w:eastAsia="zh-CN"/>
      </w:rPr>
      <w:t>3</w:t>
    </w:r>
    <w:r>
      <w:rPr>
        <w:rFonts w:hint="eastAsia"/>
      </w:rPr>
      <w:tab/>
    </w:r>
    <w:r>
      <w:rPr>
        <w:rFonts w:hint="eastAsia"/>
      </w:rPr>
      <w:tab/>
    </w:r>
    <w:r>
      <w:rPr>
        <w:rFonts w:hint="eastAsia"/>
      </w:rPr>
      <w:t>电子招标投标系统认证申请书（交易平台）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tabs>
        <w:tab w:val="right" w:pos="8222"/>
        <w:tab w:val="right" w:pos="13892"/>
        <w:tab w:val="clear" w:pos="8306"/>
      </w:tabs>
    </w:pPr>
    <w:r>
      <w:t>CCRC-</w:t>
    </w:r>
    <w:r>
      <w:rPr>
        <w:rFonts w:hint="eastAsia"/>
      </w:rPr>
      <w:t>QOT</w:t>
    </w:r>
    <w:r>
      <w:t>-</w:t>
    </w:r>
    <w:r>
      <w:rPr>
        <w:rFonts w:hint="eastAsia"/>
      </w:rPr>
      <w:t>6301-B/</w:t>
    </w:r>
    <w:r>
      <w:rPr>
        <w:rFonts w:hint="eastAsia"/>
        <w:lang w:val="en-US" w:eastAsia="zh-CN"/>
      </w:rPr>
      <w:t>3</w:t>
    </w:r>
    <w:r>
      <w:rPr>
        <w:rFonts w:hint="eastAsia"/>
      </w:rPr>
      <w:tab/>
    </w:r>
    <w:r>
      <w:tab/>
    </w:r>
    <w:r>
      <w:rPr>
        <w:rFonts w:hint="eastAsia"/>
      </w:rPr>
      <w:t>电子招标投标系统认证申请书（交易平台）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92A4C"/>
    <w:multiLevelType w:val="multilevel"/>
    <w:tmpl w:val="0DB92A4C"/>
    <w:lvl w:ilvl="0" w:tentative="0">
      <w:start w:val="1"/>
      <w:numFmt w:val="decimal"/>
      <w:lvlText w:val="%1"/>
      <w:lvlJc w:val="left"/>
      <w:pPr>
        <w:tabs>
          <w:tab w:val="left" w:pos="432"/>
        </w:tabs>
        <w:ind w:left="432" w:hanging="432"/>
      </w:pPr>
      <w:rPr>
        <w:rFonts w:hint="eastAsia" w:eastAsia="宋体"/>
        <w:b/>
        <w:bCs/>
        <w:i w:val="0"/>
        <w:iCs w:val="0"/>
        <w:sz w:val="28"/>
        <w:szCs w:val="28"/>
      </w:rPr>
    </w:lvl>
    <w:lvl w:ilvl="1" w:tentative="0">
      <w:start w:val="1"/>
      <w:numFmt w:val="decimal"/>
      <w:pStyle w:val="3"/>
      <w:lvlText w:val="%1.%2"/>
      <w:lvlJc w:val="left"/>
      <w:pPr>
        <w:tabs>
          <w:tab w:val="left" w:pos="644"/>
        </w:tabs>
        <w:ind w:left="576" w:hanging="292"/>
      </w:pPr>
      <w:rPr>
        <w:rFonts w:hint="eastAsia" w:eastAsia="宋体"/>
        <w:b/>
        <w:bCs/>
        <w:i w:val="0"/>
        <w:iCs w:val="0"/>
        <w:sz w:val="21"/>
        <w:szCs w:val="21"/>
      </w:rPr>
    </w:lvl>
    <w:lvl w:ilvl="2" w:tentative="0">
      <w:start w:val="1"/>
      <w:numFmt w:val="decimal"/>
      <w:lvlText w:val="%1.%2.%3"/>
      <w:lvlJc w:val="left"/>
      <w:pPr>
        <w:tabs>
          <w:tab w:val="left" w:pos="1287"/>
        </w:tabs>
        <w:ind w:left="720" w:hanging="153"/>
      </w:pPr>
      <w:rPr>
        <w:rFonts w:hint="eastAsia" w:eastAsia="宋体"/>
        <w:b/>
        <w:bCs/>
        <w:i w:val="0"/>
        <w:iCs w:val="0"/>
        <w:sz w:val="21"/>
        <w:szCs w:val="21"/>
      </w:rPr>
    </w:lvl>
    <w:lvl w:ilvl="3" w:tentative="0">
      <w:start w:val="1"/>
      <w:numFmt w:val="decimal"/>
      <w:pStyle w:val="5"/>
      <w:lvlText w:val="%1.%2.%3.%4"/>
      <w:lvlJc w:val="left"/>
      <w:pPr>
        <w:tabs>
          <w:tab w:val="left" w:pos="1440"/>
        </w:tabs>
        <w:ind w:left="864" w:hanging="864"/>
      </w:pPr>
      <w:rPr>
        <w:rFonts w:hint="eastAsia"/>
      </w:rPr>
    </w:lvl>
    <w:lvl w:ilvl="4" w:tentative="0">
      <w:start w:val="1"/>
      <w:numFmt w:val="decimal"/>
      <w:pStyle w:val="6"/>
      <w:lvlText w:val="%1.%2.%3.%4.%5"/>
      <w:lvlJc w:val="left"/>
      <w:pPr>
        <w:tabs>
          <w:tab w:val="left" w:pos="1800"/>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1">
    <w:nsid w:val="32053901"/>
    <w:multiLevelType w:val="multilevel"/>
    <w:tmpl w:val="3205390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28A683A"/>
    <w:multiLevelType w:val="multilevel"/>
    <w:tmpl w:val="428A683A"/>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3BB61E1"/>
    <w:multiLevelType w:val="multilevel"/>
    <w:tmpl w:val="53BB61E1"/>
    <w:lvl w:ilvl="0" w:tentative="0">
      <w:start w:val="1"/>
      <w:numFmt w:val="decimal"/>
      <w:lvlText w:val="%1."/>
      <w:lvlJc w:val="left"/>
      <w:pPr>
        <w:ind w:left="360" w:hanging="360"/>
      </w:pPr>
      <w:rPr>
        <w:rFonts w:hint="default"/>
      </w:rPr>
    </w:lvl>
    <w:lvl w:ilvl="1" w:tentative="0">
      <w:start w:val="1"/>
      <w:numFmt w:val="decimal"/>
      <w:isLgl/>
      <w:lvlText w:val="%1.%2"/>
      <w:lvlJc w:val="left"/>
      <w:pPr>
        <w:ind w:left="375" w:hanging="375"/>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4">
    <w:nsid w:val="582C4D43"/>
    <w:multiLevelType w:val="multilevel"/>
    <w:tmpl w:val="582C4D4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D8311E4"/>
    <w:multiLevelType w:val="multilevel"/>
    <w:tmpl w:val="6D8311E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BB474AA"/>
    <w:multiLevelType w:val="multilevel"/>
    <w:tmpl w:val="7BB474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20"/>
    <w:rsid w:val="00003596"/>
    <w:rsid w:val="00004CA4"/>
    <w:rsid w:val="00004D14"/>
    <w:rsid w:val="00006B36"/>
    <w:rsid w:val="0000725F"/>
    <w:rsid w:val="00010517"/>
    <w:rsid w:val="00011166"/>
    <w:rsid w:val="000158F4"/>
    <w:rsid w:val="00015CF4"/>
    <w:rsid w:val="00022E92"/>
    <w:rsid w:val="00025E8B"/>
    <w:rsid w:val="000260FE"/>
    <w:rsid w:val="00026242"/>
    <w:rsid w:val="000313A2"/>
    <w:rsid w:val="000319D3"/>
    <w:rsid w:val="0003315B"/>
    <w:rsid w:val="00035BB7"/>
    <w:rsid w:val="00035D13"/>
    <w:rsid w:val="00036C6B"/>
    <w:rsid w:val="00037E31"/>
    <w:rsid w:val="00041084"/>
    <w:rsid w:val="000453F9"/>
    <w:rsid w:val="00047526"/>
    <w:rsid w:val="000531F5"/>
    <w:rsid w:val="00056A63"/>
    <w:rsid w:val="00057AA5"/>
    <w:rsid w:val="00057CFD"/>
    <w:rsid w:val="00060833"/>
    <w:rsid w:val="00062F1F"/>
    <w:rsid w:val="0006411E"/>
    <w:rsid w:val="000644FE"/>
    <w:rsid w:val="0006527A"/>
    <w:rsid w:val="00065F1D"/>
    <w:rsid w:val="00070C6C"/>
    <w:rsid w:val="00071BB4"/>
    <w:rsid w:val="000736F5"/>
    <w:rsid w:val="000743C0"/>
    <w:rsid w:val="00075418"/>
    <w:rsid w:val="00075C11"/>
    <w:rsid w:val="00082239"/>
    <w:rsid w:val="00082F6C"/>
    <w:rsid w:val="000837F1"/>
    <w:rsid w:val="00086C34"/>
    <w:rsid w:val="00090B6C"/>
    <w:rsid w:val="00095173"/>
    <w:rsid w:val="00096255"/>
    <w:rsid w:val="00096DCF"/>
    <w:rsid w:val="000A379D"/>
    <w:rsid w:val="000A476B"/>
    <w:rsid w:val="000A57D8"/>
    <w:rsid w:val="000A6016"/>
    <w:rsid w:val="000A74DF"/>
    <w:rsid w:val="000A77F4"/>
    <w:rsid w:val="000B01FB"/>
    <w:rsid w:val="000B25C8"/>
    <w:rsid w:val="000B27B0"/>
    <w:rsid w:val="000B3156"/>
    <w:rsid w:val="000B376C"/>
    <w:rsid w:val="000B4309"/>
    <w:rsid w:val="000B4633"/>
    <w:rsid w:val="000B4941"/>
    <w:rsid w:val="000B4C63"/>
    <w:rsid w:val="000B6695"/>
    <w:rsid w:val="000C00A1"/>
    <w:rsid w:val="000C1796"/>
    <w:rsid w:val="000C2816"/>
    <w:rsid w:val="000C2F39"/>
    <w:rsid w:val="000C44B5"/>
    <w:rsid w:val="000C49C7"/>
    <w:rsid w:val="000C57E4"/>
    <w:rsid w:val="000D1036"/>
    <w:rsid w:val="000D74B6"/>
    <w:rsid w:val="000D78E0"/>
    <w:rsid w:val="000E048C"/>
    <w:rsid w:val="000E23B5"/>
    <w:rsid w:val="000F138A"/>
    <w:rsid w:val="000F33C1"/>
    <w:rsid w:val="000F3628"/>
    <w:rsid w:val="000F36FA"/>
    <w:rsid w:val="000F623E"/>
    <w:rsid w:val="000F64D5"/>
    <w:rsid w:val="000F7DB5"/>
    <w:rsid w:val="0010037D"/>
    <w:rsid w:val="0010114C"/>
    <w:rsid w:val="00103138"/>
    <w:rsid w:val="00104801"/>
    <w:rsid w:val="00106838"/>
    <w:rsid w:val="00107AD3"/>
    <w:rsid w:val="00107B06"/>
    <w:rsid w:val="00111546"/>
    <w:rsid w:val="001129BF"/>
    <w:rsid w:val="00114A68"/>
    <w:rsid w:val="00120278"/>
    <w:rsid w:val="00125324"/>
    <w:rsid w:val="0012570D"/>
    <w:rsid w:val="001308B0"/>
    <w:rsid w:val="00133684"/>
    <w:rsid w:val="00134AFC"/>
    <w:rsid w:val="001359F0"/>
    <w:rsid w:val="00136782"/>
    <w:rsid w:val="00136944"/>
    <w:rsid w:val="00140CB6"/>
    <w:rsid w:val="001410EE"/>
    <w:rsid w:val="0014245B"/>
    <w:rsid w:val="0014527E"/>
    <w:rsid w:val="00145FF2"/>
    <w:rsid w:val="0014708D"/>
    <w:rsid w:val="001508E5"/>
    <w:rsid w:val="00157D6B"/>
    <w:rsid w:val="00157DCA"/>
    <w:rsid w:val="00162550"/>
    <w:rsid w:val="00162766"/>
    <w:rsid w:val="00165433"/>
    <w:rsid w:val="00166CED"/>
    <w:rsid w:val="00172A27"/>
    <w:rsid w:val="00182D16"/>
    <w:rsid w:val="00183227"/>
    <w:rsid w:val="00186451"/>
    <w:rsid w:val="00186701"/>
    <w:rsid w:val="0019042B"/>
    <w:rsid w:val="0019058D"/>
    <w:rsid w:val="00192FCD"/>
    <w:rsid w:val="001939D6"/>
    <w:rsid w:val="0019688A"/>
    <w:rsid w:val="001A006A"/>
    <w:rsid w:val="001A23D0"/>
    <w:rsid w:val="001A408F"/>
    <w:rsid w:val="001A4FCF"/>
    <w:rsid w:val="001B1293"/>
    <w:rsid w:val="001B2573"/>
    <w:rsid w:val="001B4A49"/>
    <w:rsid w:val="001B7578"/>
    <w:rsid w:val="001B7AA8"/>
    <w:rsid w:val="001C1707"/>
    <w:rsid w:val="001C26FD"/>
    <w:rsid w:val="001C3BB0"/>
    <w:rsid w:val="001C7C6D"/>
    <w:rsid w:val="001D009E"/>
    <w:rsid w:val="001D03F5"/>
    <w:rsid w:val="001D0816"/>
    <w:rsid w:val="001D0F91"/>
    <w:rsid w:val="001D1D84"/>
    <w:rsid w:val="001D4039"/>
    <w:rsid w:val="001D4538"/>
    <w:rsid w:val="001D581D"/>
    <w:rsid w:val="001E06B1"/>
    <w:rsid w:val="001E14AC"/>
    <w:rsid w:val="001E2DFD"/>
    <w:rsid w:val="001E4348"/>
    <w:rsid w:val="001E5CE9"/>
    <w:rsid w:val="001E657B"/>
    <w:rsid w:val="001F0688"/>
    <w:rsid w:val="001F10A1"/>
    <w:rsid w:val="001F3A56"/>
    <w:rsid w:val="001F4810"/>
    <w:rsid w:val="001F5294"/>
    <w:rsid w:val="001F6019"/>
    <w:rsid w:val="001F65CB"/>
    <w:rsid w:val="001F6A58"/>
    <w:rsid w:val="001F76EB"/>
    <w:rsid w:val="001F7B2B"/>
    <w:rsid w:val="00203165"/>
    <w:rsid w:val="00203F4C"/>
    <w:rsid w:val="00204BC1"/>
    <w:rsid w:val="00204DA8"/>
    <w:rsid w:val="0020557E"/>
    <w:rsid w:val="00207D2F"/>
    <w:rsid w:val="00207EB0"/>
    <w:rsid w:val="0021571D"/>
    <w:rsid w:val="0021581E"/>
    <w:rsid w:val="0021654E"/>
    <w:rsid w:val="00217643"/>
    <w:rsid w:val="00223F74"/>
    <w:rsid w:val="00223F99"/>
    <w:rsid w:val="00230E3F"/>
    <w:rsid w:val="00231907"/>
    <w:rsid w:val="00236889"/>
    <w:rsid w:val="00240C10"/>
    <w:rsid w:val="00243EE1"/>
    <w:rsid w:val="002461BD"/>
    <w:rsid w:val="0024668E"/>
    <w:rsid w:val="00246E8F"/>
    <w:rsid w:val="002476B7"/>
    <w:rsid w:val="002517A0"/>
    <w:rsid w:val="00252524"/>
    <w:rsid w:val="00252821"/>
    <w:rsid w:val="0025418A"/>
    <w:rsid w:val="00254602"/>
    <w:rsid w:val="002557AD"/>
    <w:rsid w:val="00260098"/>
    <w:rsid w:val="0026145C"/>
    <w:rsid w:val="00261540"/>
    <w:rsid w:val="002651BD"/>
    <w:rsid w:val="00265BE4"/>
    <w:rsid w:val="002663A5"/>
    <w:rsid w:val="00266EE7"/>
    <w:rsid w:val="00267D69"/>
    <w:rsid w:val="00273DE9"/>
    <w:rsid w:val="00275717"/>
    <w:rsid w:val="0027596E"/>
    <w:rsid w:val="00283167"/>
    <w:rsid w:val="00290FF7"/>
    <w:rsid w:val="00294159"/>
    <w:rsid w:val="00294A00"/>
    <w:rsid w:val="00295835"/>
    <w:rsid w:val="002974F7"/>
    <w:rsid w:val="00297C90"/>
    <w:rsid w:val="002A096C"/>
    <w:rsid w:val="002A0D10"/>
    <w:rsid w:val="002A1D85"/>
    <w:rsid w:val="002A22F9"/>
    <w:rsid w:val="002A3ABD"/>
    <w:rsid w:val="002A3D08"/>
    <w:rsid w:val="002A5FB0"/>
    <w:rsid w:val="002A673C"/>
    <w:rsid w:val="002A6DFA"/>
    <w:rsid w:val="002B05CE"/>
    <w:rsid w:val="002B14D8"/>
    <w:rsid w:val="002B35B4"/>
    <w:rsid w:val="002B64B2"/>
    <w:rsid w:val="002B70AD"/>
    <w:rsid w:val="002C0E9D"/>
    <w:rsid w:val="002C3669"/>
    <w:rsid w:val="002C5650"/>
    <w:rsid w:val="002C662C"/>
    <w:rsid w:val="002C75BE"/>
    <w:rsid w:val="002D38BE"/>
    <w:rsid w:val="002D46F6"/>
    <w:rsid w:val="002D47BE"/>
    <w:rsid w:val="002D488F"/>
    <w:rsid w:val="002D7064"/>
    <w:rsid w:val="002D7605"/>
    <w:rsid w:val="002E121A"/>
    <w:rsid w:val="002E1D67"/>
    <w:rsid w:val="002E2744"/>
    <w:rsid w:val="002E516E"/>
    <w:rsid w:val="002E5B7A"/>
    <w:rsid w:val="002E68B6"/>
    <w:rsid w:val="002E79DD"/>
    <w:rsid w:val="002F7050"/>
    <w:rsid w:val="002F7AA3"/>
    <w:rsid w:val="0030055E"/>
    <w:rsid w:val="00300C9D"/>
    <w:rsid w:val="00304085"/>
    <w:rsid w:val="00304713"/>
    <w:rsid w:val="003058EE"/>
    <w:rsid w:val="00312B57"/>
    <w:rsid w:val="0031332C"/>
    <w:rsid w:val="003144A8"/>
    <w:rsid w:val="0031547A"/>
    <w:rsid w:val="0031579A"/>
    <w:rsid w:val="003159B0"/>
    <w:rsid w:val="00315BF2"/>
    <w:rsid w:val="00317AC1"/>
    <w:rsid w:val="00321285"/>
    <w:rsid w:val="00321B43"/>
    <w:rsid w:val="00323362"/>
    <w:rsid w:val="00324089"/>
    <w:rsid w:val="00325CD7"/>
    <w:rsid w:val="00325E74"/>
    <w:rsid w:val="0032614F"/>
    <w:rsid w:val="00326743"/>
    <w:rsid w:val="00326C20"/>
    <w:rsid w:val="00327359"/>
    <w:rsid w:val="00330465"/>
    <w:rsid w:val="0033076F"/>
    <w:rsid w:val="003314F9"/>
    <w:rsid w:val="00332E40"/>
    <w:rsid w:val="003336B3"/>
    <w:rsid w:val="00333BE2"/>
    <w:rsid w:val="00335DA3"/>
    <w:rsid w:val="00337E33"/>
    <w:rsid w:val="0034014B"/>
    <w:rsid w:val="003405F3"/>
    <w:rsid w:val="003423D5"/>
    <w:rsid w:val="00343625"/>
    <w:rsid w:val="00347A97"/>
    <w:rsid w:val="003508AD"/>
    <w:rsid w:val="00354203"/>
    <w:rsid w:val="00354248"/>
    <w:rsid w:val="00356F6F"/>
    <w:rsid w:val="003604F4"/>
    <w:rsid w:val="00360987"/>
    <w:rsid w:val="00360EE2"/>
    <w:rsid w:val="00361141"/>
    <w:rsid w:val="00361857"/>
    <w:rsid w:val="00362954"/>
    <w:rsid w:val="00363DC9"/>
    <w:rsid w:val="00364705"/>
    <w:rsid w:val="00364BBF"/>
    <w:rsid w:val="00366162"/>
    <w:rsid w:val="00374497"/>
    <w:rsid w:val="00374539"/>
    <w:rsid w:val="00374830"/>
    <w:rsid w:val="003753B1"/>
    <w:rsid w:val="00375C0A"/>
    <w:rsid w:val="00376D5A"/>
    <w:rsid w:val="00384702"/>
    <w:rsid w:val="00390725"/>
    <w:rsid w:val="0039144A"/>
    <w:rsid w:val="00392DC7"/>
    <w:rsid w:val="00392E05"/>
    <w:rsid w:val="00393742"/>
    <w:rsid w:val="00394D0F"/>
    <w:rsid w:val="00396CB3"/>
    <w:rsid w:val="003A0194"/>
    <w:rsid w:val="003A312D"/>
    <w:rsid w:val="003A321E"/>
    <w:rsid w:val="003A3E9A"/>
    <w:rsid w:val="003A5670"/>
    <w:rsid w:val="003A5A99"/>
    <w:rsid w:val="003A6131"/>
    <w:rsid w:val="003B0C0C"/>
    <w:rsid w:val="003B0F15"/>
    <w:rsid w:val="003B165F"/>
    <w:rsid w:val="003B471B"/>
    <w:rsid w:val="003B5CF3"/>
    <w:rsid w:val="003B6BFD"/>
    <w:rsid w:val="003B6CC7"/>
    <w:rsid w:val="003C0357"/>
    <w:rsid w:val="003C095C"/>
    <w:rsid w:val="003C23F7"/>
    <w:rsid w:val="003C24E0"/>
    <w:rsid w:val="003C32CD"/>
    <w:rsid w:val="003C3DEC"/>
    <w:rsid w:val="003C5A56"/>
    <w:rsid w:val="003C7B6A"/>
    <w:rsid w:val="003D02E7"/>
    <w:rsid w:val="003D443A"/>
    <w:rsid w:val="003D55B1"/>
    <w:rsid w:val="003D6469"/>
    <w:rsid w:val="003D781B"/>
    <w:rsid w:val="003E08E4"/>
    <w:rsid w:val="003E1817"/>
    <w:rsid w:val="003E5239"/>
    <w:rsid w:val="003F2513"/>
    <w:rsid w:val="003F3490"/>
    <w:rsid w:val="003F3DAC"/>
    <w:rsid w:val="00400B5E"/>
    <w:rsid w:val="0040197E"/>
    <w:rsid w:val="00403065"/>
    <w:rsid w:val="00404AC3"/>
    <w:rsid w:val="00405485"/>
    <w:rsid w:val="004071D1"/>
    <w:rsid w:val="00411E97"/>
    <w:rsid w:val="004120F5"/>
    <w:rsid w:val="00412EB8"/>
    <w:rsid w:val="004157D8"/>
    <w:rsid w:val="00417876"/>
    <w:rsid w:val="004209F0"/>
    <w:rsid w:val="00430487"/>
    <w:rsid w:val="004307F3"/>
    <w:rsid w:val="00436C7B"/>
    <w:rsid w:val="0044227E"/>
    <w:rsid w:val="00443824"/>
    <w:rsid w:val="00445745"/>
    <w:rsid w:val="00446076"/>
    <w:rsid w:val="004461C1"/>
    <w:rsid w:val="00447625"/>
    <w:rsid w:val="00447B61"/>
    <w:rsid w:val="00454197"/>
    <w:rsid w:val="00454BDE"/>
    <w:rsid w:val="00455516"/>
    <w:rsid w:val="00455C0B"/>
    <w:rsid w:val="004576DB"/>
    <w:rsid w:val="0046302F"/>
    <w:rsid w:val="004706E4"/>
    <w:rsid w:val="00471885"/>
    <w:rsid w:val="0047621C"/>
    <w:rsid w:val="0048087D"/>
    <w:rsid w:val="00482309"/>
    <w:rsid w:val="004838CA"/>
    <w:rsid w:val="0048463A"/>
    <w:rsid w:val="00485B27"/>
    <w:rsid w:val="0048718D"/>
    <w:rsid w:val="004905C1"/>
    <w:rsid w:val="004924B5"/>
    <w:rsid w:val="00492A96"/>
    <w:rsid w:val="00492C2F"/>
    <w:rsid w:val="004A0487"/>
    <w:rsid w:val="004A1EC1"/>
    <w:rsid w:val="004A4147"/>
    <w:rsid w:val="004A564B"/>
    <w:rsid w:val="004A6A9B"/>
    <w:rsid w:val="004B0EFF"/>
    <w:rsid w:val="004B2D77"/>
    <w:rsid w:val="004B3079"/>
    <w:rsid w:val="004B384D"/>
    <w:rsid w:val="004B415D"/>
    <w:rsid w:val="004B4EE7"/>
    <w:rsid w:val="004B6793"/>
    <w:rsid w:val="004C2172"/>
    <w:rsid w:val="004C2F74"/>
    <w:rsid w:val="004C4763"/>
    <w:rsid w:val="004C5556"/>
    <w:rsid w:val="004C6913"/>
    <w:rsid w:val="004D1C3C"/>
    <w:rsid w:val="004D1D58"/>
    <w:rsid w:val="004D26F8"/>
    <w:rsid w:val="004D27AF"/>
    <w:rsid w:val="004D2CE2"/>
    <w:rsid w:val="004D3DCD"/>
    <w:rsid w:val="004D57C4"/>
    <w:rsid w:val="004D6567"/>
    <w:rsid w:val="004D65EA"/>
    <w:rsid w:val="004D78DC"/>
    <w:rsid w:val="004E1861"/>
    <w:rsid w:val="004E345C"/>
    <w:rsid w:val="004E7153"/>
    <w:rsid w:val="004E7658"/>
    <w:rsid w:val="004E7F47"/>
    <w:rsid w:val="004F0CEA"/>
    <w:rsid w:val="004F1E89"/>
    <w:rsid w:val="004F2E3D"/>
    <w:rsid w:val="004F60D5"/>
    <w:rsid w:val="004F7FF2"/>
    <w:rsid w:val="005033DE"/>
    <w:rsid w:val="00505F51"/>
    <w:rsid w:val="00506825"/>
    <w:rsid w:val="00507000"/>
    <w:rsid w:val="005119D1"/>
    <w:rsid w:val="00512196"/>
    <w:rsid w:val="00512C76"/>
    <w:rsid w:val="0051342C"/>
    <w:rsid w:val="005135F8"/>
    <w:rsid w:val="0051497A"/>
    <w:rsid w:val="0052039F"/>
    <w:rsid w:val="00522156"/>
    <w:rsid w:val="00522C6A"/>
    <w:rsid w:val="00523262"/>
    <w:rsid w:val="00524C32"/>
    <w:rsid w:val="00527876"/>
    <w:rsid w:val="0052795F"/>
    <w:rsid w:val="0053188A"/>
    <w:rsid w:val="00531EDB"/>
    <w:rsid w:val="00532A21"/>
    <w:rsid w:val="00536955"/>
    <w:rsid w:val="00536AA8"/>
    <w:rsid w:val="005400ED"/>
    <w:rsid w:val="005409F3"/>
    <w:rsid w:val="00543132"/>
    <w:rsid w:val="00544A30"/>
    <w:rsid w:val="00545F93"/>
    <w:rsid w:val="005460BB"/>
    <w:rsid w:val="00546554"/>
    <w:rsid w:val="005479B3"/>
    <w:rsid w:val="005557BD"/>
    <w:rsid w:val="0055778D"/>
    <w:rsid w:val="005610D9"/>
    <w:rsid w:val="0056288A"/>
    <w:rsid w:val="0056389C"/>
    <w:rsid w:val="00563B2C"/>
    <w:rsid w:val="00565C67"/>
    <w:rsid w:val="00566528"/>
    <w:rsid w:val="00566B6E"/>
    <w:rsid w:val="00571186"/>
    <w:rsid w:val="005733B9"/>
    <w:rsid w:val="005766B0"/>
    <w:rsid w:val="005810B3"/>
    <w:rsid w:val="00581132"/>
    <w:rsid w:val="005812F6"/>
    <w:rsid w:val="0058177B"/>
    <w:rsid w:val="00582DAF"/>
    <w:rsid w:val="00582FFE"/>
    <w:rsid w:val="0058464C"/>
    <w:rsid w:val="005850FA"/>
    <w:rsid w:val="005852B5"/>
    <w:rsid w:val="005856AC"/>
    <w:rsid w:val="00585855"/>
    <w:rsid w:val="00586E8D"/>
    <w:rsid w:val="00587B21"/>
    <w:rsid w:val="00595D65"/>
    <w:rsid w:val="00597264"/>
    <w:rsid w:val="0059784C"/>
    <w:rsid w:val="00597F98"/>
    <w:rsid w:val="005A0EE5"/>
    <w:rsid w:val="005A1FEB"/>
    <w:rsid w:val="005A20DF"/>
    <w:rsid w:val="005A5322"/>
    <w:rsid w:val="005A7930"/>
    <w:rsid w:val="005B059F"/>
    <w:rsid w:val="005B1E5A"/>
    <w:rsid w:val="005B7732"/>
    <w:rsid w:val="005C04E2"/>
    <w:rsid w:val="005C19E1"/>
    <w:rsid w:val="005C6FB2"/>
    <w:rsid w:val="005C717A"/>
    <w:rsid w:val="005D2915"/>
    <w:rsid w:val="005D386B"/>
    <w:rsid w:val="005D741F"/>
    <w:rsid w:val="005E019C"/>
    <w:rsid w:val="005E2124"/>
    <w:rsid w:val="005E3FCE"/>
    <w:rsid w:val="005E424C"/>
    <w:rsid w:val="005E63D7"/>
    <w:rsid w:val="005F0555"/>
    <w:rsid w:val="005F2E58"/>
    <w:rsid w:val="005F4339"/>
    <w:rsid w:val="005F4B7B"/>
    <w:rsid w:val="005F6A40"/>
    <w:rsid w:val="005F7231"/>
    <w:rsid w:val="00600F67"/>
    <w:rsid w:val="006047F3"/>
    <w:rsid w:val="006066AC"/>
    <w:rsid w:val="00606CD3"/>
    <w:rsid w:val="00607A27"/>
    <w:rsid w:val="006106D8"/>
    <w:rsid w:val="00610E13"/>
    <w:rsid w:val="0061192B"/>
    <w:rsid w:val="00614C98"/>
    <w:rsid w:val="00615AF7"/>
    <w:rsid w:val="00616099"/>
    <w:rsid w:val="00621B23"/>
    <w:rsid w:val="00624255"/>
    <w:rsid w:val="0062466B"/>
    <w:rsid w:val="006254FA"/>
    <w:rsid w:val="00625887"/>
    <w:rsid w:val="00627ECE"/>
    <w:rsid w:val="00630CE8"/>
    <w:rsid w:val="00631049"/>
    <w:rsid w:val="00631236"/>
    <w:rsid w:val="00631811"/>
    <w:rsid w:val="00631A26"/>
    <w:rsid w:val="00632FBA"/>
    <w:rsid w:val="006409CA"/>
    <w:rsid w:val="00643242"/>
    <w:rsid w:val="00651C2B"/>
    <w:rsid w:val="006522C2"/>
    <w:rsid w:val="00657B62"/>
    <w:rsid w:val="006633E7"/>
    <w:rsid w:val="006653C5"/>
    <w:rsid w:val="00671008"/>
    <w:rsid w:val="006714A9"/>
    <w:rsid w:val="0068006C"/>
    <w:rsid w:val="00680F40"/>
    <w:rsid w:val="006819C6"/>
    <w:rsid w:val="00682EF0"/>
    <w:rsid w:val="006845C5"/>
    <w:rsid w:val="00684A18"/>
    <w:rsid w:val="00684DF8"/>
    <w:rsid w:val="00690CD4"/>
    <w:rsid w:val="00690D3F"/>
    <w:rsid w:val="00693292"/>
    <w:rsid w:val="006939D8"/>
    <w:rsid w:val="0069628F"/>
    <w:rsid w:val="0069647C"/>
    <w:rsid w:val="006968C8"/>
    <w:rsid w:val="00696C05"/>
    <w:rsid w:val="006A03FA"/>
    <w:rsid w:val="006A1212"/>
    <w:rsid w:val="006A2A80"/>
    <w:rsid w:val="006A3D43"/>
    <w:rsid w:val="006A67B2"/>
    <w:rsid w:val="006A7E59"/>
    <w:rsid w:val="006B2B1A"/>
    <w:rsid w:val="006B3258"/>
    <w:rsid w:val="006B37B3"/>
    <w:rsid w:val="006B4375"/>
    <w:rsid w:val="006B4A7C"/>
    <w:rsid w:val="006B561E"/>
    <w:rsid w:val="006B67AA"/>
    <w:rsid w:val="006C07E7"/>
    <w:rsid w:val="006C1625"/>
    <w:rsid w:val="006C262A"/>
    <w:rsid w:val="006C2A96"/>
    <w:rsid w:val="006C30EE"/>
    <w:rsid w:val="006C6342"/>
    <w:rsid w:val="006C6664"/>
    <w:rsid w:val="006C7AB2"/>
    <w:rsid w:val="006D1F9C"/>
    <w:rsid w:val="006E0455"/>
    <w:rsid w:val="006E2AD9"/>
    <w:rsid w:val="006E32C1"/>
    <w:rsid w:val="006E3BF5"/>
    <w:rsid w:val="00701839"/>
    <w:rsid w:val="00702C4E"/>
    <w:rsid w:val="007077D2"/>
    <w:rsid w:val="00711457"/>
    <w:rsid w:val="007119F8"/>
    <w:rsid w:val="00712110"/>
    <w:rsid w:val="00714A76"/>
    <w:rsid w:val="0071524D"/>
    <w:rsid w:val="00715662"/>
    <w:rsid w:val="007168D0"/>
    <w:rsid w:val="00720477"/>
    <w:rsid w:val="00725570"/>
    <w:rsid w:val="00725B73"/>
    <w:rsid w:val="00725C1A"/>
    <w:rsid w:val="0072734E"/>
    <w:rsid w:val="0073193D"/>
    <w:rsid w:val="00731B1A"/>
    <w:rsid w:val="00731EE4"/>
    <w:rsid w:val="007351D3"/>
    <w:rsid w:val="00737F9D"/>
    <w:rsid w:val="00740C5C"/>
    <w:rsid w:val="0074201B"/>
    <w:rsid w:val="007444F2"/>
    <w:rsid w:val="0074482D"/>
    <w:rsid w:val="00747A44"/>
    <w:rsid w:val="0075079D"/>
    <w:rsid w:val="0075305B"/>
    <w:rsid w:val="007531E3"/>
    <w:rsid w:val="00753CCA"/>
    <w:rsid w:val="00754E11"/>
    <w:rsid w:val="00756A6C"/>
    <w:rsid w:val="00757F25"/>
    <w:rsid w:val="007612AE"/>
    <w:rsid w:val="00762E41"/>
    <w:rsid w:val="007630C0"/>
    <w:rsid w:val="007665B2"/>
    <w:rsid w:val="007702E5"/>
    <w:rsid w:val="007703C1"/>
    <w:rsid w:val="0077050C"/>
    <w:rsid w:val="00771BC7"/>
    <w:rsid w:val="00774FEB"/>
    <w:rsid w:val="00775B55"/>
    <w:rsid w:val="007803F6"/>
    <w:rsid w:val="00780583"/>
    <w:rsid w:val="00782C29"/>
    <w:rsid w:val="0078366F"/>
    <w:rsid w:val="00783C40"/>
    <w:rsid w:val="00785105"/>
    <w:rsid w:val="0078660A"/>
    <w:rsid w:val="0079347B"/>
    <w:rsid w:val="00793E08"/>
    <w:rsid w:val="007954E9"/>
    <w:rsid w:val="00797A38"/>
    <w:rsid w:val="007A0DDE"/>
    <w:rsid w:val="007A1974"/>
    <w:rsid w:val="007A1F95"/>
    <w:rsid w:val="007A2B8F"/>
    <w:rsid w:val="007A4EAC"/>
    <w:rsid w:val="007A52A1"/>
    <w:rsid w:val="007A7189"/>
    <w:rsid w:val="007B434A"/>
    <w:rsid w:val="007B470E"/>
    <w:rsid w:val="007B6978"/>
    <w:rsid w:val="007B79DC"/>
    <w:rsid w:val="007C0505"/>
    <w:rsid w:val="007C216A"/>
    <w:rsid w:val="007C28FE"/>
    <w:rsid w:val="007C54F7"/>
    <w:rsid w:val="007C5D8B"/>
    <w:rsid w:val="007C672D"/>
    <w:rsid w:val="007C6C8E"/>
    <w:rsid w:val="007C6EB2"/>
    <w:rsid w:val="007C7204"/>
    <w:rsid w:val="007D0FA5"/>
    <w:rsid w:val="007D29FC"/>
    <w:rsid w:val="007D52B1"/>
    <w:rsid w:val="007E0691"/>
    <w:rsid w:val="007E204A"/>
    <w:rsid w:val="007E36DC"/>
    <w:rsid w:val="007E595F"/>
    <w:rsid w:val="007E5DD1"/>
    <w:rsid w:val="007E763E"/>
    <w:rsid w:val="007F025E"/>
    <w:rsid w:val="007F2E27"/>
    <w:rsid w:val="007F681A"/>
    <w:rsid w:val="00800600"/>
    <w:rsid w:val="00800E9E"/>
    <w:rsid w:val="0080197E"/>
    <w:rsid w:val="00802A13"/>
    <w:rsid w:val="008031A6"/>
    <w:rsid w:val="0080649D"/>
    <w:rsid w:val="00806633"/>
    <w:rsid w:val="00806D2B"/>
    <w:rsid w:val="00807EB3"/>
    <w:rsid w:val="00813EA8"/>
    <w:rsid w:val="0081786E"/>
    <w:rsid w:val="00820439"/>
    <w:rsid w:val="0082206B"/>
    <w:rsid w:val="00827B07"/>
    <w:rsid w:val="008305D1"/>
    <w:rsid w:val="00832347"/>
    <w:rsid w:val="008340E5"/>
    <w:rsid w:val="00834F76"/>
    <w:rsid w:val="00835106"/>
    <w:rsid w:val="008357DE"/>
    <w:rsid w:val="00847215"/>
    <w:rsid w:val="00850275"/>
    <w:rsid w:val="008528ED"/>
    <w:rsid w:val="00854BC2"/>
    <w:rsid w:val="00855148"/>
    <w:rsid w:val="00857BCC"/>
    <w:rsid w:val="00862247"/>
    <w:rsid w:val="0086692B"/>
    <w:rsid w:val="00867D24"/>
    <w:rsid w:val="00872CC7"/>
    <w:rsid w:val="00873CD1"/>
    <w:rsid w:val="00873DD8"/>
    <w:rsid w:val="0087404C"/>
    <w:rsid w:val="00875932"/>
    <w:rsid w:val="0087732B"/>
    <w:rsid w:val="00877375"/>
    <w:rsid w:val="00880E16"/>
    <w:rsid w:val="00880EBB"/>
    <w:rsid w:val="00882B47"/>
    <w:rsid w:val="00882FE3"/>
    <w:rsid w:val="0088389B"/>
    <w:rsid w:val="00883D82"/>
    <w:rsid w:val="00885DF2"/>
    <w:rsid w:val="008909F0"/>
    <w:rsid w:val="00892BC4"/>
    <w:rsid w:val="0089498B"/>
    <w:rsid w:val="008973BE"/>
    <w:rsid w:val="00897C15"/>
    <w:rsid w:val="008A280F"/>
    <w:rsid w:val="008A524E"/>
    <w:rsid w:val="008A58ED"/>
    <w:rsid w:val="008B252A"/>
    <w:rsid w:val="008B2C63"/>
    <w:rsid w:val="008B4A2E"/>
    <w:rsid w:val="008B4FF6"/>
    <w:rsid w:val="008B6FF5"/>
    <w:rsid w:val="008C1547"/>
    <w:rsid w:val="008C397B"/>
    <w:rsid w:val="008C5C70"/>
    <w:rsid w:val="008C64D4"/>
    <w:rsid w:val="008D0FBC"/>
    <w:rsid w:val="008D1CE3"/>
    <w:rsid w:val="008D2795"/>
    <w:rsid w:val="008D61C5"/>
    <w:rsid w:val="008E0000"/>
    <w:rsid w:val="008E0C44"/>
    <w:rsid w:val="008E3433"/>
    <w:rsid w:val="008E3A1B"/>
    <w:rsid w:val="008E4DBB"/>
    <w:rsid w:val="008E502B"/>
    <w:rsid w:val="008E64CF"/>
    <w:rsid w:val="008E6956"/>
    <w:rsid w:val="008F1A76"/>
    <w:rsid w:val="008F1CC4"/>
    <w:rsid w:val="008F3F29"/>
    <w:rsid w:val="008F4987"/>
    <w:rsid w:val="008F63CF"/>
    <w:rsid w:val="008F66FD"/>
    <w:rsid w:val="009018B1"/>
    <w:rsid w:val="00907851"/>
    <w:rsid w:val="00911BF2"/>
    <w:rsid w:val="00912638"/>
    <w:rsid w:val="00916D44"/>
    <w:rsid w:val="00917275"/>
    <w:rsid w:val="00923442"/>
    <w:rsid w:val="00924722"/>
    <w:rsid w:val="00924F25"/>
    <w:rsid w:val="009255D6"/>
    <w:rsid w:val="00930B4F"/>
    <w:rsid w:val="00933590"/>
    <w:rsid w:val="009370FF"/>
    <w:rsid w:val="00937996"/>
    <w:rsid w:val="00937C31"/>
    <w:rsid w:val="00940C68"/>
    <w:rsid w:val="009417F4"/>
    <w:rsid w:val="00941F9B"/>
    <w:rsid w:val="00942F32"/>
    <w:rsid w:val="009436D4"/>
    <w:rsid w:val="00947594"/>
    <w:rsid w:val="00950811"/>
    <w:rsid w:val="00951DBD"/>
    <w:rsid w:val="00952CEA"/>
    <w:rsid w:val="00954770"/>
    <w:rsid w:val="00954789"/>
    <w:rsid w:val="00954D0A"/>
    <w:rsid w:val="00960495"/>
    <w:rsid w:val="00960552"/>
    <w:rsid w:val="00960D2A"/>
    <w:rsid w:val="009630BE"/>
    <w:rsid w:val="0096523C"/>
    <w:rsid w:val="00970832"/>
    <w:rsid w:val="0097190E"/>
    <w:rsid w:val="00972AC7"/>
    <w:rsid w:val="009732F4"/>
    <w:rsid w:val="00973C4C"/>
    <w:rsid w:val="009754BA"/>
    <w:rsid w:val="00980707"/>
    <w:rsid w:val="00980CC9"/>
    <w:rsid w:val="009811C0"/>
    <w:rsid w:val="00981228"/>
    <w:rsid w:val="009823D2"/>
    <w:rsid w:val="009842B4"/>
    <w:rsid w:val="00984AF0"/>
    <w:rsid w:val="00986B56"/>
    <w:rsid w:val="0098748B"/>
    <w:rsid w:val="00987B00"/>
    <w:rsid w:val="00987E25"/>
    <w:rsid w:val="00992CED"/>
    <w:rsid w:val="00993EC0"/>
    <w:rsid w:val="00994E26"/>
    <w:rsid w:val="009952BB"/>
    <w:rsid w:val="009A2087"/>
    <w:rsid w:val="009A3BD4"/>
    <w:rsid w:val="009A591D"/>
    <w:rsid w:val="009A754F"/>
    <w:rsid w:val="009B0677"/>
    <w:rsid w:val="009B3547"/>
    <w:rsid w:val="009B36F8"/>
    <w:rsid w:val="009B5F64"/>
    <w:rsid w:val="009C0CCD"/>
    <w:rsid w:val="009C0F2D"/>
    <w:rsid w:val="009C2806"/>
    <w:rsid w:val="009C4914"/>
    <w:rsid w:val="009C4F13"/>
    <w:rsid w:val="009C514F"/>
    <w:rsid w:val="009C6291"/>
    <w:rsid w:val="009D1641"/>
    <w:rsid w:val="009D1D7D"/>
    <w:rsid w:val="009D25D8"/>
    <w:rsid w:val="009D2C81"/>
    <w:rsid w:val="009D42C5"/>
    <w:rsid w:val="009D7668"/>
    <w:rsid w:val="009E34A6"/>
    <w:rsid w:val="009E767C"/>
    <w:rsid w:val="009F0086"/>
    <w:rsid w:val="009F29A7"/>
    <w:rsid w:val="009F4D2F"/>
    <w:rsid w:val="009F5380"/>
    <w:rsid w:val="009F5546"/>
    <w:rsid w:val="009F563E"/>
    <w:rsid w:val="009F728D"/>
    <w:rsid w:val="00A008A4"/>
    <w:rsid w:val="00A01E75"/>
    <w:rsid w:val="00A04B36"/>
    <w:rsid w:val="00A04B90"/>
    <w:rsid w:val="00A069FB"/>
    <w:rsid w:val="00A06E55"/>
    <w:rsid w:val="00A1417B"/>
    <w:rsid w:val="00A145A8"/>
    <w:rsid w:val="00A14B84"/>
    <w:rsid w:val="00A14C26"/>
    <w:rsid w:val="00A16283"/>
    <w:rsid w:val="00A16D75"/>
    <w:rsid w:val="00A20897"/>
    <w:rsid w:val="00A21070"/>
    <w:rsid w:val="00A23099"/>
    <w:rsid w:val="00A23BA1"/>
    <w:rsid w:val="00A242C4"/>
    <w:rsid w:val="00A25FF4"/>
    <w:rsid w:val="00A26871"/>
    <w:rsid w:val="00A26EEB"/>
    <w:rsid w:val="00A32EBA"/>
    <w:rsid w:val="00A35015"/>
    <w:rsid w:val="00A35EE3"/>
    <w:rsid w:val="00A37AC1"/>
    <w:rsid w:val="00A5440E"/>
    <w:rsid w:val="00A5545D"/>
    <w:rsid w:val="00A576A7"/>
    <w:rsid w:val="00A57B3B"/>
    <w:rsid w:val="00A6000B"/>
    <w:rsid w:val="00A60F89"/>
    <w:rsid w:val="00A64562"/>
    <w:rsid w:val="00A67172"/>
    <w:rsid w:val="00A67904"/>
    <w:rsid w:val="00A7034F"/>
    <w:rsid w:val="00A73742"/>
    <w:rsid w:val="00A74950"/>
    <w:rsid w:val="00A77495"/>
    <w:rsid w:val="00A7781D"/>
    <w:rsid w:val="00A817E0"/>
    <w:rsid w:val="00A81BB4"/>
    <w:rsid w:val="00A94B53"/>
    <w:rsid w:val="00A96C9D"/>
    <w:rsid w:val="00AA289A"/>
    <w:rsid w:val="00AA649A"/>
    <w:rsid w:val="00AB1C1F"/>
    <w:rsid w:val="00AB61D4"/>
    <w:rsid w:val="00AB6DB2"/>
    <w:rsid w:val="00AB7528"/>
    <w:rsid w:val="00AC180A"/>
    <w:rsid w:val="00AC1A7F"/>
    <w:rsid w:val="00AC28B9"/>
    <w:rsid w:val="00AC4091"/>
    <w:rsid w:val="00AC71D9"/>
    <w:rsid w:val="00AD05CF"/>
    <w:rsid w:val="00AD0716"/>
    <w:rsid w:val="00AD1209"/>
    <w:rsid w:val="00AD2902"/>
    <w:rsid w:val="00AE2C19"/>
    <w:rsid w:val="00AE3A16"/>
    <w:rsid w:val="00AE4F9D"/>
    <w:rsid w:val="00AE6C58"/>
    <w:rsid w:val="00AF4E94"/>
    <w:rsid w:val="00B0058C"/>
    <w:rsid w:val="00B020C9"/>
    <w:rsid w:val="00B02B76"/>
    <w:rsid w:val="00B05A68"/>
    <w:rsid w:val="00B07029"/>
    <w:rsid w:val="00B13E72"/>
    <w:rsid w:val="00B15C55"/>
    <w:rsid w:val="00B2207A"/>
    <w:rsid w:val="00B22602"/>
    <w:rsid w:val="00B227E1"/>
    <w:rsid w:val="00B23A03"/>
    <w:rsid w:val="00B23B16"/>
    <w:rsid w:val="00B243DE"/>
    <w:rsid w:val="00B27EC7"/>
    <w:rsid w:val="00B36FCE"/>
    <w:rsid w:val="00B42E7A"/>
    <w:rsid w:val="00B42F6E"/>
    <w:rsid w:val="00B432F6"/>
    <w:rsid w:val="00B45079"/>
    <w:rsid w:val="00B45852"/>
    <w:rsid w:val="00B50525"/>
    <w:rsid w:val="00B53204"/>
    <w:rsid w:val="00B53808"/>
    <w:rsid w:val="00B54017"/>
    <w:rsid w:val="00B56366"/>
    <w:rsid w:val="00B57BD2"/>
    <w:rsid w:val="00B645D6"/>
    <w:rsid w:val="00B67623"/>
    <w:rsid w:val="00B709B5"/>
    <w:rsid w:val="00B7217F"/>
    <w:rsid w:val="00B7295A"/>
    <w:rsid w:val="00B74E6F"/>
    <w:rsid w:val="00B77231"/>
    <w:rsid w:val="00B77C86"/>
    <w:rsid w:val="00B80A58"/>
    <w:rsid w:val="00B81945"/>
    <w:rsid w:val="00B82DD6"/>
    <w:rsid w:val="00B84F12"/>
    <w:rsid w:val="00B8548F"/>
    <w:rsid w:val="00B86718"/>
    <w:rsid w:val="00B8762F"/>
    <w:rsid w:val="00B87DAF"/>
    <w:rsid w:val="00B91DD5"/>
    <w:rsid w:val="00B92C37"/>
    <w:rsid w:val="00B93904"/>
    <w:rsid w:val="00B9706D"/>
    <w:rsid w:val="00B97677"/>
    <w:rsid w:val="00BA0360"/>
    <w:rsid w:val="00BA2E47"/>
    <w:rsid w:val="00BA3985"/>
    <w:rsid w:val="00BA3B44"/>
    <w:rsid w:val="00BB0755"/>
    <w:rsid w:val="00BB421D"/>
    <w:rsid w:val="00BB7E9A"/>
    <w:rsid w:val="00BC1305"/>
    <w:rsid w:val="00BC2C51"/>
    <w:rsid w:val="00BC2E13"/>
    <w:rsid w:val="00BC34CD"/>
    <w:rsid w:val="00BD2C25"/>
    <w:rsid w:val="00BD3197"/>
    <w:rsid w:val="00BD47A4"/>
    <w:rsid w:val="00BD6C7A"/>
    <w:rsid w:val="00BE0078"/>
    <w:rsid w:val="00BE16B7"/>
    <w:rsid w:val="00BE183E"/>
    <w:rsid w:val="00BE18E0"/>
    <w:rsid w:val="00BE18F1"/>
    <w:rsid w:val="00BE41D4"/>
    <w:rsid w:val="00BE713F"/>
    <w:rsid w:val="00BF2A1E"/>
    <w:rsid w:val="00BF4317"/>
    <w:rsid w:val="00BF6A1A"/>
    <w:rsid w:val="00BF752A"/>
    <w:rsid w:val="00C01D15"/>
    <w:rsid w:val="00C01E5F"/>
    <w:rsid w:val="00C025FB"/>
    <w:rsid w:val="00C04367"/>
    <w:rsid w:val="00C04421"/>
    <w:rsid w:val="00C05B9B"/>
    <w:rsid w:val="00C06E63"/>
    <w:rsid w:val="00C11710"/>
    <w:rsid w:val="00C12349"/>
    <w:rsid w:val="00C151F0"/>
    <w:rsid w:val="00C217A2"/>
    <w:rsid w:val="00C231E3"/>
    <w:rsid w:val="00C233F3"/>
    <w:rsid w:val="00C26534"/>
    <w:rsid w:val="00C30F48"/>
    <w:rsid w:val="00C31B61"/>
    <w:rsid w:val="00C31EDE"/>
    <w:rsid w:val="00C333F3"/>
    <w:rsid w:val="00C363F3"/>
    <w:rsid w:val="00C402F8"/>
    <w:rsid w:val="00C43018"/>
    <w:rsid w:val="00C439B5"/>
    <w:rsid w:val="00C44000"/>
    <w:rsid w:val="00C443E0"/>
    <w:rsid w:val="00C451CB"/>
    <w:rsid w:val="00C45422"/>
    <w:rsid w:val="00C45969"/>
    <w:rsid w:val="00C465FA"/>
    <w:rsid w:val="00C46C2B"/>
    <w:rsid w:val="00C51D04"/>
    <w:rsid w:val="00C52A91"/>
    <w:rsid w:val="00C60CEC"/>
    <w:rsid w:val="00C62F3B"/>
    <w:rsid w:val="00C65B09"/>
    <w:rsid w:val="00C660D1"/>
    <w:rsid w:val="00C715E4"/>
    <w:rsid w:val="00C740F9"/>
    <w:rsid w:val="00C75BA6"/>
    <w:rsid w:val="00C75EF0"/>
    <w:rsid w:val="00C77879"/>
    <w:rsid w:val="00C80893"/>
    <w:rsid w:val="00C81025"/>
    <w:rsid w:val="00C813FF"/>
    <w:rsid w:val="00C82E67"/>
    <w:rsid w:val="00C86637"/>
    <w:rsid w:val="00C86968"/>
    <w:rsid w:val="00C86C31"/>
    <w:rsid w:val="00C91DE4"/>
    <w:rsid w:val="00C92C17"/>
    <w:rsid w:val="00C9582A"/>
    <w:rsid w:val="00CA0F22"/>
    <w:rsid w:val="00CA2836"/>
    <w:rsid w:val="00CA52BC"/>
    <w:rsid w:val="00CA5731"/>
    <w:rsid w:val="00CA7134"/>
    <w:rsid w:val="00CB1724"/>
    <w:rsid w:val="00CB2D1B"/>
    <w:rsid w:val="00CB47A0"/>
    <w:rsid w:val="00CB6E33"/>
    <w:rsid w:val="00CB7C53"/>
    <w:rsid w:val="00CC0D8C"/>
    <w:rsid w:val="00CC3D33"/>
    <w:rsid w:val="00CC427D"/>
    <w:rsid w:val="00CC50D7"/>
    <w:rsid w:val="00CC7D70"/>
    <w:rsid w:val="00CD298F"/>
    <w:rsid w:val="00CD2BE9"/>
    <w:rsid w:val="00CD369D"/>
    <w:rsid w:val="00CD49D4"/>
    <w:rsid w:val="00CD622B"/>
    <w:rsid w:val="00CE1D2D"/>
    <w:rsid w:val="00CE1DE0"/>
    <w:rsid w:val="00CE263C"/>
    <w:rsid w:val="00CE2995"/>
    <w:rsid w:val="00CE2A3D"/>
    <w:rsid w:val="00CE5CB5"/>
    <w:rsid w:val="00CE6C36"/>
    <w:rsid w:val="00CF5222"/>
    <w:rsid w:val="00CF7E43"/>
    <w:rsid w:val="00D0056A"/>
    <w:rsid w:val="00D061C7"/>
    <w:rsid w:val="00D11849"/>
    <w:rsid w:val="00D12482"/>
    <w:rsid w:val="00D14465"/>
    <w:rsid w:val="00D15AEB"/>
    <w:rsid w:val="00D15DC0"/>
    <w:rsid w:val="00D15F6A"/>
    <w:rsid w:val="00D17703"/>
    <w:rsid w:val="00D20515"/>
    <w:rsid w:val="00D212A2"/>
    <w:rsid w:val="00D22207"/>
    <w:rsid w:val="00D26558"/>
    <w:rsid w:val="00D30E84"/>
    <w:rsid w:val="00D310F1"/>
    <w:rsid w:val="00D3175E"/>
    <w:rsid w:val="00D32999"/>
    <w:rsid w:val="00D33736"/>
    <w:rsid w:val="00D34265"/>
    <w:rsid w:val="00D343FB"/>
    <w:rsid w:val="00D34F7C"/>
    <w:rsid w:val="00D35667"/>
    <w:rsid w:val="00D40294"/>
    <w:rsid w:val="00D4055B"/>
    <w:rsid w:val="00D41689"/>
    <w:rsid w:val="00D42CB4"/>
    <w:rsid w:val="00D434B5"/>
    <w:rsid w:val="00D47063"/>
    <w:rsid w:val="00D477A5"/>
    <w:rsid w:val="00D52EFD"/>
    <w:rsid w:val="00D6101F"/>
    <w:rsid w:val="00D643AD"/>
    <w:rsid w:val="00D646C3"/>
    <w:rsid w:val="00D64D70"/>
    <w:rsid w:val="00D74F5F"/>
    <w:rsid w:val="00D7762C"/>
    <w:rsid w:val="00D81889"/>
    <w:rsid w:val="00D839E9"/>
    <w:rsid w:val="00D8485B"/>
    <w:rsid w:val="00D84EB1"/>
    <w:rsid w:val="00D87A8C"/>
    <w:rsid w:val="00D87E28"/>
    <w:rsid w:val="00D91B20"/>
    <w:rsid w:val="00D93538"/>
    <w:rsid w:val="00D93DB2"/>
    <w:rsid w:val="00D94E6F"/>
    <w:rsid w:val="00D969BE"/>
    <w:rsid w:val="00D96EFB"/>
    <w:rsid w:val="00D97586"/>
    <w:rsid w:val="00DA091B"/>
    <w:rsid w:val="00DA11B3"/>
    <w:rsid w:val="00DA1D89"/>
    <w:rsid w:val="00DA5940"/>
    <w:rsid w:val="00DA59E3"/>
    <w:rsid w:val="00DA6461"/>
    <w:rsid w:val="00DA7CB4"/>
    <w:rsid w:val="00DA7DAA"/>
    <w:rsid w:val="00DB3ADF"/>
    <w:rsid w:val="00DB4A00"/>
    <w:rsid w:val="00DB6402"/>
    <w:rsid w:val="00DB7D20"/>
    <w:rsid w:val="00DC2559"/>
    <w:rsid w:val="00DC26DE"/>
    <w:rsid w:val="00DC3778"/>
    <w:rsid w:val="00DC3D09"/>
    <w:rsid w:val="00DC4D14"/>
    <w:rsid w:val="00DC54AB"/>
    <w:rsid w:val="00DC622A"/>
    <w:rsid w:val="00DC6B9D"/>
    <w:rsid w:val="00DD0571"/>
    <w:rsid w:val="00DD1FEC"/>
    <w:rsid w:val="00DD29E4"/>
    <w:rsid w:val="00DD6D46"/>
    <w:rsid w:val="00DE3599"/>
    <w:rsid w:val="00DE6234"/>
    <w:rsid w:val="00DE6F5C"/>
    <w:rsid w:val="00DF3514"/>
    <w:rsid w:val="00DF5E18"/>
    <w:rsid w:val="00E01D04"/>
    <w:rsid w:val="00E03261"/>
    <w:rsid w:val="00E05988"/>
    <w:rsid w:val="00E05BBF"/>
    <w:rsid w:val="00E0712E"/>
    <w:rsid w:val="00E07A6E"/>
    <w:rsid w:val="00E07C9E"/>
    <w:rsid w:val="00E15DA0"/>
    <w:rsid w:val="00E16F69"/>
    <w:rsid w:val="00E20928"/>
    <w:rsid w:val="00E246BD"/>
    <w:rsid w:val="00E3027F"/>
    <w:rsid w:val="00E30EEF"/>
    <w:rsid w:val="00E3299B"/>
    <w:rsid w:val="00E3397C"/>
    <w:rsid w:val="00E33E24"/>
    <w:rsid w:val="00E347F3"/>
    <w:rsid w:val="00E36563"/>
    <w:rsid w:val="00E375AD"/>
    <w:rsid w:val="00E412A0"/>
    <w:rsid w:val="00E419FC"/>
    <w:rsid w:val="00E46F52"/>
    <w:rsid w:val="00E50533"/>
    <w:rsid w:val="00E53263"/>
    <w:rsid w:val="00E553D7"/>
    <w:rsid w:val="00E573B6"/>
    <w:rsid w:val="00E603AD"/>
    <w:rsid w:val="00E617F3"/>
    <w:rsid w:val="00E62FD9"/>
    <w:rsid w:val="00E65596"/>
    <w:rsid w:val="00E65A79"/>
    <w:rsid w:val="00E660C6"/>
    <w:rsid w:val="00E7073A"/>
    <w:rsid w:val="00E72096"/>
    <w:rsid w:val="00E75C7C"/>
    <w:rsid w:val="00E76B23"/>
    <w:rsid w:val="00E76B4C"/>
    <w:rsid w:val="00E8134E"/>
    <w:rsid w:val="00E8182B"/>
    <w:rsid w:val="00E82488"/>
    <w:rsid w:val="00E82F51"/>
    <w:rsid w:val="00E83AE0"/>
    <w:rsid w:val="00E83E25"/>
    <w:rsid w:val="00E84671"/>
    <w:rsid w:val="00E92E0F"/>
    <w:rsid w:val="00E93BE6"/>
    <w:rsid w:val="00E94844"/>
    <w:rsid w:val="00E94D13"/>
    <w:rsid w:val="00E9594D"/>
    <w:rsid w:val="00E9794B"/>
    <w:rsid w:val="00EA07DA"/>
    <w:rsid w:val="00EA218A"/>
    <w:rsid w:val="00EA2D87"/>
    <w:rsid w:val="00EA3112"/>
    <w:rsid w:val="00EA510C"/>
    <w:rsid w:val="00EA56DB"/>
    <w:rsid w:val="00EB2E0C"/>
    <w:rsid w:val="00EB64DD"/>
    <w:rsid w:val="00EB7846"/>
    <w:rsid w:val="00EC0A41"/>
    <w:rsid w:val="00EC1009"/>
    <w:rsid w:val="00EC3450"/>
    <w:rsid w:val="00EC7D5C"/>
    <w:rsid w:val="00ED2072"/>
    <w:rsid w:val="00ED3F6A"/>
    <w:rsid w:val="00ED4D72"/>
    <w:rsid w:val="00ED56B2"/>
    <w:rsid w:val="00ED58D4"/>
    <w:rsid w:val="00ED7CAB"/>
    <w:rsid w:val="00EE0751"/>
    <w:rsid w:val="00EE0CDA"/>
    <w:rsid w:val="00EE2F6A"/>
    <w:rsid w:val="00EE59EC"/>
    <w:rsid w:val="00EF28D0"/>
    <w:rsid w:val="00EF2DB8"/>
    <w:rsid w:val="00EF2E35"/>
    <w:rsid w:val="00EF3000"/>
    <w:rsid w:val="00EF6D93"/>
    <w:rsid w:val="00F02A6C"/>
    <w:rsid w:val="00F038A3"/>
    <w:rsid w:val="00F039AA"/>
    <w:rsid w:val="00F114EE"/>
    <w:rsid w:val="00F13B97"/>
    <w:rsid w:val="00F13E8B"/>
    <w:rsid w:val="00F1433C"/>
    <w:rsid w:val="00F14D9F"/>
    <w:rsid w:val="00F14FD5"/>
    <w:rsid w:val="00F21EC8"/>
    <w:rsid w:val="00F22F05"/>
    <w:rsid w:val="00F25943"/>
    <w:rsid w:val="00F25C15"/>
    <w:rsid w:val="00F27A1D"/>
    <w:rsid w:val="00F27B22"/>
    <w:rsid w:val="00F3088C"/>
    <w:rsid w:val="00F33FBE"/>
    <w:rsid w:val="00F34639"/>
    <w:rsid w:val="00F347B9"/>
    <w:rsid w:val="00F34F04"/>
    <w:rsid w:val="00F35173"/>
    <w:rsid w:val="00F3562C"/>
    <w:rsid w:val="00F35F61"/>
    <w:rsid w:val="00F36DC8"/>
    <w:rsid w:val="00F379EF"/>
    <w:rsid w:val="00F410A2"/>
    <w:rsid w:val="00F42A85"/>
    <w:rsid w:val="00F43194"/>
    <w:rsid w:val="00F44877"/>
    <w:rsid w:val="00F506F0"/>
    <w:rsid w:val="00F51200"/>
    <w:rsid w:val="00F524CD"/>
    <w:rsid w:val="00F5272E"/>
    <w:rsid w:val="00F53382"/>
    <w:rsid w:val="00F53CA2"/>
    <w:rsid w:val="00F5598B"/>
    <w:rsid w:val="00F55BED"/>
    <w:rsid w:val="00F568D6"/>
    <w:rsid w:val="00F63976"/>
    <w:rsid w:val="00F63F4D"/>
    <w:rsid w:val="00F649CB"/>
    <w:rsid w:val="00F67F22"/>
    <w:rsid w:val="00F7370A"/>
    <w:rsid w:val="00F73722"/>
    <w:rsid w:val="00F80574"/>
    <w:rsid w:val="00F80EF8"/>
    <w:rsid w:val="00F81EF3"/>
    <w:rsid w:val="00F8396D"/>
    <w:rsid w:val="00F87094"/>
    <w:rsid w:val="00F92A82"/>
    <w:rsid w:val="00F92BEF"/>
    <w:rsid w:val="00F92C89"/>
    <w:rsid w:val="00F94115"/>
    <w:rsid w:val="00FA14BC"/>
    <w:rsid w:val="00FA1913"/>
    <w:rsid w:val="00FA3298"/>
    <w:rsid w:val="00FA410E"/>
    <w:rsid w:val="00FA7272"/>
    <w:rsid w:val="00FB1984"/>
    <w:rsid w:val="00FB23EC"/>
    <w:rsid w:val="00FB2999"/>
    <w:rsid w:val="00FB38D4"/>
    <w:rsid w:val="00FB6EA0"/>
    <w:rsid w:val="00FC0AD7"/>
    <w:rsid w:val="00FC308D"/>
    <w:rsid w:val="00FC3CDC"/>
    <w:rsid w:val="00FD05C1"/>
    <w:rsid w:val="00FD10E2"/>
    <w:rsid w:val="00FD22F8"/>
    <w:rsid w:val="00FD274D"/>
    <w:rsid w:val="00FD325F"/>
    <w:rsid w:val="00FD39FE"/>
    <w:rsid w:val="00FD5478"/>
    <w:rsid w:val="00FD578C"/>
    <w:rsid w:val="00FE03F1"/>
    <w:rsid w:val="00FE2EF7"/>
    <w:rsid w:val="00FE37B3"/>
    <w:rsid w:val="00FE5826"/>
    <w:rsid w:val="00FE637E"/>
    <w:rsid w:val="00FE743C"/>
    <w:rsid w:val="00FE7F7B"/>
    <w:rsid w:val="00FF05F5"/>
    <w:rsid w:val="00FF16DC"/>
    <w:rsid w:val="00FF314D"/>
    <w:rsid w:val="00FF392D"/>
    <w:rsid w:val="00FF4049"/>
    <w:rsid w:val="00FF4809"/>
    <w:rsid w:val="00FF6EF3"/>
    <w:rsid w:val="00FF7A57"/>
    <w:rsid w:val="038E05E4"/>
    <w:rsid w:val="04731B5B"/>
    <w:rsid w:val="0DD47985"/>
    <w:rsid w:val="0DEC4366"/>
    <w:rsid w:val="118D31D7"/>
    <w:rsid w:val="14E67A56"/>
    <w:rsid w:val="169961A3"/>
    <w:rsid w:val="17D548A6"/>
    <w:rsid w:val="18C24076"/>
    <w:rsid w:val="1D57782A"/>
    <w:rsid w:val="1D617DC0"/>
    <w:rsid w:val="237D7345"/>
    <w:rsid w:val="23C358BC"/>
    <w:rsid w:val="27102AA5"/>
    <w:rsid w:val="29614573"/>
    <w:rsid w:val="2F5219B0"/>
    <w:rsid w:val="2F6C2559"/>
    <w:rsid w:val="30170A94"/>
    <w:rsid w:val="35E421F9"/>
    <w:rsid w:val="39F913A9"/>
    <w:rsid w:val="3EFE3365"/>
    <w:rsid w:val="3F7A6532"/>
    <w:rsid w:val="3FDF657A"/>
    <w:rsid w:val="40C17556"/>
    <w:rsid w:val="42CF43AB"/>
    <w:rsid w:val="48C66F74"/>
    <w:rsid w:val="49D97D36"/>
    <w:rsid w:val="4FCF4E7E"/>
    <w:rsid w:val="5197226B"/>
    <w:rsid w:val="540B7771"/>
    <w:rsid w:val="547F094C"/>
    <w:rsid w:val="58200B20"/>
    <w:rsid w:val="64952D13"/>
    <w:rsid w:val="67007BFA"/>
    <w:rsid w:val="6A3377CC"/>
    <w:rsid w:val="6A406AE2"/>
    <w:rsid w:val="6B4B4A16"/>
    <w:rsid w:val="6D3C1D23"/>
    <w:rsid w:val="750E639B"/>
    <w:rsid w:val="75CB1FD1"/>
    <w:rsid w:val="75F57592"/>
    <w:rsid w:val="764A4A9E"/>
    <w:rsid w:val="79527A88"/>
    <w:rsid w:val="79FA77AD"/>
    <w:rsid w:val="7C3A7CDC"/>
    <w:rsid w:val="7FA4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3"/>
    <w:qFormat/>
    <w:uiPriority w:val="0"/>
    <w:pPr>
      <w:keepNext/>
      <w:keepLines/>
      <w:spacing w:before="60" w:after="60" w:line="360" w:lineRule="auto"/>
      <w:outlineLvl w:val="0"/>
    </w:pPr>
    <w:rPr>
      <w:b/>
      <w:bCs/>
      <w:kern w:val="44"/>
      <w:sz w:val="44"/>
      <w:szCs w:val="44"/>
    </w:rPr>
  </w:style>
  <w:style w:type="paragraph" w:styleId="3">
    <w:name w:val="heading 2"/>
    <w:basedOn w:val="1"/>
    <w:next w:val="1"/>
    <w:link w:val="46"/>
    <w:qFormat/>
    <w:uiPriority w:val="0"/>
    <w:pPr>
      <w:keepNext/>
      <w:keepLines/>
      <w:numPr>
        <w:ilvl w:val="1"/>
        <w:numId w:val="1"/>
      </w:numPr>
      <w:spacing w:before="20" w:after="20" w:line="360"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numPr>
        <w:ilvl w:val="3"/>
        <w:numId w:val="1"/>
      </w:numPr>
      <w:spacing w:before="120" w:after="120" w:line="360" w:lineRule="auto"/>
      <w:outlineLvl w:val="3"/>
    </w:pPr>
    <w:rPr>
      <w:rFonts w:ascii="Arial" w:hAnsi="Arial" w:eastAsia="黑体" w:cs="Arial"/>
      <w:b/>
      <w:bCs/>
      <w:sz w:val="28"/>
      <w:szCs w:val="28"/>
    </w:rPr>
  </w:style>
  <w:style w:type="paragraph" w:styleId="6">
    <w:name w:val="heading 5"/>
    <w:basedOn w:val="1"/>
    <w:next w:val="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spacing w:before="240" w:after="64" w:line="320" w:lineRule="auto"/>
      <w:outlineLvl w:val="5"/>
    </w:pPr>
    <w:rPr>
      <w:rFonts w:ascii="Arial" w:hAnsi="Arial" w:eastAsia="黑体" w:cs="Arial"/>
      <w:b/>
      <w:bCs/>
      <w:sz w:val="24"/>
      <w:szCs w:val="24"/>
    </w:rPr>
  </w:style>
  <w:style w:type="paragraph" w:styleId="8">
    <w:name w:val="heading 7"/>
    <w:basedOn w:val="1"/>
    <w:next w:val="1"/>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qFormat/>
    <w:uiPriority w:val="0"/>
    <w:pPr>
      <w:keepNext/>
      <w:keepLines/>
      <w:numPr>
        <w:ilvl w:val="7"/>
        <w:numId w:val="1"/>
      </w:numPr>
      <w:spacing w:before="240" w:after="64" w:line="320" w:lineRule="auto"/>
      <w:outlineLvl w:val="7"/>
    </w:pPr>
    <w:rPr>
      <w:rFonts w:ascii="Arial" w:hAnsi="Arial" w:eastAsia="黑体" w:cs="Arial"/>
      <w:sz w:val="24"/>
      <w:szCs w:val="24"/>
    </w:rPr>
  </w:style>
  <w:style w:type="paragraph" w:styleId="10">
    <w:name w:val="heading 9"/>
    <w:basedOn w:val="1"/>
    <w:next w:val="1"/>
    <w:qFormat/>
    <w:uiPriority w:val="0"/>
    <w:pPr>
      <w:keepNext/>
      <w:keepLines/>
      <w:numPr>
        <w:ilvl w:val="8"/>
        <w:numId w:val="1"/>
      </w:numPr>
      <w:spacing w:before="240" w:after="64" w:line="320" w:lineRule="auto"/>
      <w:outlineLvl w:val="8"/>
    </w:pPr>
    <w:rPr>
      <w:rFonts w:ascii="Arial" w:hAnsi="Arial" w:eastAsia="黑体" w:cs="Arial"/>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Normal Indent"/>
    <w:basedOn w:val="1"/>
    <w:link w:val="35"/>
    <w:qFormat/>
    <w:uiPriority w:val="0"/>
    <w:pPr>
      <w:widowControl/>
      <w:spacing w:line="288" w:lineRule="auto"/>
      <w:ind w:firstLine="200" w:firstLineChars="200"/>
    </w:pPr>
    <w:rPr>
      <w:rFonts w:ascii="Arial" w:hAnsi="Arial"/>
      <w:kern w:val="0"/>
      <w:sz w:val="24"/>
      <w:szCs w:val="24"/>
    </w:rPr>
  </w:style>
  <w:style w:type="paragraph" w:styleId="12">
    <w:name w:val="Document Map"/>
    <w:basedOn w:val="1"/>
    <w:link w:val="50"/>
    <w:semiHidden/>
    <w:qFormat/>
    <w:uiPriority w:val="0"/>
    <w:pPr>
      <w:shd w:val="clear" w:color="auto" w:fill="000080"/>
    </w:pPr>
  </w:style>
  <w:style w:type="paragraph" w:styleId="13">
    <w:name w:val="annotation text"/>
    <w:basedOn w:val="1"/>
    <w:link w:val="48"/>
    <w:qFormat/>
    <w:uiPriority w:val="0"/>
    <w:pPr>
      <w:jc w:val="left"/>
    </w:pPr>
  </w:style>
  <w:style w:type="paragraph" w:styleId="14">
    <w:name w:val="Body Text 3"/>
    <w:basedOn w:val="1"/>
    <w:link w:val="37"/>
    <w:qFormat/>
    <w:uiPriority w:val="0"/>
    <w:pPr>
      <w:spacing w:after="120"/>
    </w:pPr>
    <w:rPr>
      <w:sz w:val="16"/>
      <w:szCs w:val="16"/>
    </w:rPr>
  </w:style>
  <w:style w:type="paragraph" w:styleId="15">
    <w:name w:val="Body Text Indent"/>
    <w:basedOn w:val="1"/>
    <w:qFormat/>
    <w:uiPriority w:val="0"/>
    <w:pPr>
      <w:spacing w:line="360" w:lineRule="auto"/>
      <w:ind w:firstLine="840" w:firstLineChars="300"/>
    </w:pPr>
    <w:rPr>
      <w:sz w:val="28"/>
      <w:szCs w:val="28"/>
    </w:rPr>
  </w:style>
  <w:style w:type="paragraph" w:styleId="16">
    <w:name w:val="toc 3"/>
    <w:basedOn w:val="1"/>
    <w:next w:val="1"/>
    <w:semiHidden/>
    <w:qFormat/>
    <w:uiPriority w:val="0"/>
    <w:pPr>
      <w:ind w:left="840" w:leftChars="400"/>
    </w:pPr>
  </w:style>
  <w:style w:type="paragraph" w:styleId="17">
    <w:name w:val="Balloon Text"/>
    <w:basedOn w:val="1"/>
    <w:link w:val="47"/>
    <w:qFormat/>
    <w:uiPriority w:val="0"/>
    <w:rPr>
      <w:sz w:val="18"/>
      <w:szCs w:val="18"/>
    </w:rPr>
  </w:style>
  <w:style w:type="paragraph" w:styleId="18">
    <w:name w:val="footer"/>
    <w:basedOn w:val="1"/>
    <w:link w:val="36"/>
    <w:qFormat/>
    <w:uiPriority w:val="99"/>
    <w:pPr>
      <w:tabs>
        <w:tab w:val="center" w:pos="4153"/>
        <w:tab w:val="right" w:pos="8306"/>
      </w:tabs>
      <w:snapToGrid w:val="0"/>
      <w:jc w:val="left"/>
    </w:pPr>
    <w:rPr>
      <w:sz w:val="18"/>
      <w:szCs w:val="18"/>
    </w:rPr>
  </w:style>
  <w:style w:type="paragraph" w:styleId="19">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footnote text"/>
    <w:basedOn w:val="1"/>
    <w:link w:val="34"/>
    <w:qFormat/>
    <w:uiPriority w:val="0"/>
    <w:pPr>
      <w:snapToGrid w:val="0"/>
      <w:jc w:val="left"/>
    </w:pPr>
    <w:rPr>
      <w:sz w:val="18"/>
      <w:szCs w:val="18"/>
    </w:rPr>
  </w:style>
  <w:style w:type="paragraph" w:styleId="22">
    <w:name w:val="toc 2"/>
    <w:basedOn w:val="1"/>
    <w:next w:val="1"/>
    <w:semiHidden/>
    <w:qFormat/>
    <w:uiPriority w:val="0"/>
    <w:pPr>
      <w:ind w:left="420" w:leftChars="200"/>
    </w:pPr>
  </w:style>
  <w:style w:type="paragraph" w:styleId="2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4">
    <w:name w:val="annotation subject"/>
    <w:basedOn w:val="13"/>
    <w:next w:val="13"/>
    <w:link w:val="49"/>
    <w:semiHidden/>
    <w:qFormat/>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qFormat/>
    <w:uiPriority w:val="0"/>
  </w:style>
  <w:style w:type="character" w:styleId="29">
    <w:name w:val="FollowedHyperlink"/>
    <w:unhideWhenUsed/>
    <w:qFormat/>
    <w:uiPriority w:val="99"/>
    <w:rPr>
      <w:color w:val="800080"/>
      <w:u w:val="single"/>
    </w:rPr>
  </w:style>
  <w:style w:type="character" w:styleId="30">
    <w:name w:val="Hyperlink"/>
    <w:qFormat/>
    <w:uiPriority w:val="99"/>
    <w:rPr>
      <w:color w:val="0000FF"/>
      <w:u w:val="single"/>
    </w:rPr>
  </w:style>
  <w:style w:type="character" w:styleId="31">
    <w:name w:val="annotation reference"/>
    <w:semiHidden/>
    <w:qFormat/>
    <w:uiPriority w:val="99"/>
    <w:rPr>
      <w:sz w:val="21"/>
      <w:szCs w:val="21"/>
    </w:rPr>
  </w:style>
  <w:style w:type="character" w:styleId="32">
    <w:name w:val="footnote reference"/>
    <w:qFormat/>
    <w:uiPriority w:val="0"/>
    <w:rPr>
      <w:vertAlign w:val="superscript"/>
    </w:rPr>
  </w:style>
  <w:style w:type="character" w:customStyle="1" w:styleId="33">
    <w:name w:val="标题 1 Char"/>
    <w:link w:val="2"/>
    <w:qFormat/>
    <w:uiPriority w:val="0"/>
    <w:rPr>
      <w:rFonts w:eastAsia="宋体"/>
      <w:b/>
      <w:bCs/>
      <w:kern w:val="44"/>
      <w:sz w:val="44"/>
      <w:szCs w:val="44"/>
      <w:lang w:val="en-US" w:eastAsia="zh-CN" w:bidi="ar-SA"/>
    </w:rPr>
  </w:style>
  <w:style w:type="character" w:customStyle="1" w:styleId="34">
    <w:name w:val="脚注文本 Char"/>
    <w:link w:val="21"/>
    <w:qFormat/>
    <w:uiPriority w:val="0"/>
    <w:rPr>
      <w:kern w:val="2"/>
      <w:sz w:val="18"/>
      <w:szCs w:val="18"/>
    </w:rPr>
  </w:style>
  <w:style w:type="character" w:customStyle="1" w:styleId="35">
    <w:name w:val="正文缩进 Char"/>
    <w:link w:val="11"/>
    <w:qFormat/>
    <w:uiPriority w:val="0"/>
    <w:rPr>
      <w:rFonts w:ascii="Arial" w:hAnsi="Arial" w:eastAsia="宋体"/>
      <w:sz w:val="24"/>
      <w:szCs w:val="24"/>
      <w:lang w:val="en-US" w:eastAsia="zh-CN" w:bidi="ar-SA"/>
    </w:rPr>
  </w:style>
  <w:style w:type="character" w:customStyle="1" w:styleId="36">
    <w:name w:val="页脚 Char"/>
    <w:link w:val="18"/>
    <w:qFormat/>
    <w:uiPriority w:val="99"/>
    <w:rPr>
      <w:kern w:val="2"/>
      <w:sz w:val="18"/>
      <w:szCs w:val="18"/>
    </w:rPr>
  </w:style>
  <w:style w:type="character" w:customStyle="1" w:styleId="37">
    <w:name w:val="正文文本 3 Char"/>
    <w:link w:val="14"/>
    <w:qFormat/>
    <w:uiPriority w:val="0"/>
    <w:rPr>
      <w:kern w:val="2"/>
      <w:sz w:val="16"/>
      <w:szCs w:val="16"/>
    </w:rPr>
  </w:style>
  <w:style w:type="character" w:customStyle="1" w:styleId="38">
    <w:name w:val="页眉 Char"/>
    <w:link w:val="19"/>
    <w:qFormat/>
    <w:uiPriority w:val="0"/>
    <w:rPr>
      <w:kern w:val="2"/>
      <w:sz w:val="18"/>
      <w:szCs w:val="18"/>
    </w:rPr>
  </w:style>
  <w:style w:type="paragraph" w:customStyle="1" w:styleId="39">
    <w:name w:val="Char Char Char Char"/>
    <w:basedOn w:val="1"/>
    <w:qFormat/>
    <w:uiPriority w:val="0"/>
    <w:pPr>
      <w:tabs>
        <w:tab w:val="left" w:pos="360"/>
      </w:tabs>
    </w:pPr>
    <w:rPr>
      <w:sz w:val="24"/>
    </w:rPr>
  </w:style>
  <w:style w:type="paragraph" w:customStyle="1" w:styleId="40">
    <w:name w:val="样式 首行缩进:  2 字符1"/>
    <w:basedOn w:val="1"/>
    <w:qFormat/>
    <w:uiPriority w:val="0"/>
    <w:pPr>
      <w:ind w:firstLine="480" w:firstLineChars="200"/>
    </w:pPr>
    <w:rPr>
      <w:rFonts w:cs="宋体"/>
      <w:sz w:val="24"/>
      <w:szCs w:val="20"/>
    </w:rPr>
  </w:style>
  <w:style w:type="paragraph" w:customStyle="1" w:styleId="4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42">
    <w:name w:val="List Paragraph"/>
    <w:basedOn w:val="1"/>
    <w:qFormat/>
    <w:uiPriority w:val="34"/>
    <w:pPr>
      <w:ind w:firstLine="420" w:firstLineChars="200"/>
    </w:pPr>
  </w:style>
  <w:style w:type="paragraph" w:customStyle="1" w:styleId="43">
    <w:name w:val="Char Char Char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44">
    <w:name w:val="标题1级"/>
    <w:basedOn w:val="2"/>
    <w:next w:val="11"/>
    <w:qFormat/>
    <w:uiPriority w:val="0"/>
    <w:pPr>
      <w:keepLines w:val="0"/>
      <w:pageBreakBefore/>
      <w:widowControl/>
      <w:spacing w:before="280" w:after="0"/>
      <w:jc w:val="left"/>
    </w:pPr>
    <w:rPr>
      <w:rFonts w:eastAsia="黑体"/>
      <w:bCs w:val="0"/>
      <w:spacing w:val="-2"/>
      <w:kern w:val="0"/>
      <w:sz w:val="30"/>
      <w:szCs w:val="30"/>
    </w:rPr>
  </w:style>
  <w:style w:type="paragraph" w:customStyle="1" w:styleId="4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6">
    <w:name w:val="标题 2 Char"/>
    <w:link w:val="3"/>
    <w:qFormat/>
    <w:uiPriority w:val="0"/>
    <w:rPr>
      <w:rFonts w:ascii="Arial" w:hAnsi="Arial" w:eastAsia="黑体" w:cs="Arial"/>
      <w:b/>
      <w:bCs/>
      <w:kern w:val="2"/>
      <w:sz w:val="32"/>
      <w:szCs w:val="32"/>
    </w:rPr>
  </w:style>
  <w:style w:type="character" w:customStyle="1" w:styleId="47">
    <w:name w:val="批注框文本 Char"/>
    <w:link w:val="17"/>
    <w:qFormat/>
    <w:uiPriority w:val="0"/>
    <w:rPr>
      <w:kern w:val="2"/>
      <w:sz w:val="18"/>
      <w:szCs w:val="18"/>
    </w:rPr>
  </w:style>
  <w:style w:type="character" w:customStyle="1" w:styleId="48">
    <w:name w:val="批注文字 Char"/>
    <w:link w:val="13"/>
    <w:qFormat/>
    <w:uiPriority w:val="0"/>
    <w:rPr>
      <w:kern w:val="2"/>
      <w:sz w:val="21"/>
      <w:szCs w:val="21"/>
    </w:rPr>
  </w:style>
  <w:style w:type="character" w:customStyle="1" w:styleId="49">
    <w:name w:val="批注主题 Char"/>
    <w:link w:val="24"/>
    <w:semiHidden/>
    <w:qFormat/>
    <w:uiPriority w:val="99"/>
    <w:rPr>
      <w:b/>
      <w:bCs/>
      <w:kern w:val="2"/>
      <w:sz w:val="21"/>
      <w:szCs w:val="21"/>
    </w:rPr>
  </w:style>
  <w:style w:type="character" w:customStyle="1" w:styleId="50">
    <w:name w:val="文档结构图 Char"/>
    <w:link w:val="12"/>
    <w:semiHidden/>
    <w:qFormat/>
    <w:uiPriority w:val="0"/>
    <w:rPr>
      <w:kern w:val="2"/>
      <w:sz w:val="21"/>
      <w:szCs w:val="21"/>
      <w:shd w:val="clear" w:color="auto" w:fill="000080"/>
    </w:rPr>
  </w:style>
  <w:style w:type="paragraph" w:customStyle="1" w:styleId="51">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E202C6-05B4-4B23-9BFC-9F97EDC0E88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3087</Words>
  <Characters>17602</Characters>
  <Lines>146</Lines>
  <Paragraphs>41</Paragraphs>
  <TotalTime>10</TotalTime>
  <ScaleCrop>false</ScaleCrop>
  <LinksUpToDate>false</LinksUpToDate>
  <CharactersWithSpaces>20648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2018-07-06T06:00:00Z</dcterms:created>
  <dc:creator>ISCCC</dc:creator>
  <cp:lastModifiedBy>崔颖</cp:lastModifiedBy>
  <cp:lastPrinted>2010-05-07T01:32:00Z</cp:lastPrinted>
  <dcterms:modified xsi:type="dcterms:W3CDTF">2024-08-26T06:24:37Z</dcterms:modified>
  <dc:title>强制性产品认证申请书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